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bookmarkStart w:id="0" w:name="_Toc15306267"/>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pageBreakBefore w:val="0"/>
        <w:kinsoku/>
        <w:wordWrap/>
        <w:overflowPunct/>
        <w:topLinePunct w:val="0"/>
        <w:bidi w:val="0"/>
        <w:spacing w:line="576" w:lineRule="exact"/>
        <w:jc w:val="center"/>
        <w:outlineLvl w:val="0"/>
        <w:rPr>
          <w:rFonts w:ascii="方正小标宋简体" w:hAnsi="宋体" w:eastAsia="方正小标宋简体"/>
          <w:b/>
          <w:bCs/>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b/>
          <w:bCs/>
          <w:color w:val="000000"/>
          <w:sz w:val="72"/>
          <w:szCs w:val="72"/>
        </w:rPr>
      </w:pPr>
      <w:bookmarkStart w:id="1" w:name="_Toc15378441"/>
      <w:bookmarkStart w:id="2" w:name="_Toc15377425"/>
      <w:bookmarkStart w:id="3" w:name="_Toc15396597"/>
      <w:bookmarkStart w:id="4" w:name="_Toc15377193"/>
      <w:bookmarkStart w:id="5" w:name="_Toc15396475"/>
      <w:r>
        <w:rPr>
          <w:rFonts w:ascii="黑体" w:hAnsi="黑体" w:eastAsia="黑体"/>
          <w:b/>
          <w:bCs/>
          <w:color w:val="000000"/>
          <w:sz w:val="72"/>
          <w:szCs w:val="72"/>
        </w:rPr>
        <w:t>20</w:t>
      </w:r>
      <w:r>
        <w:rPr>
          <w:rFonts w:hint="eastAsia" w:ascii="黑体" w:hAnsi="黑体" w:eastAsia="黑体"/>
          <w:b/>
          <w:bCs/>
          <w:color w:val="000000"/>
          <w:sz w:val="72"/>
          <w:szCs w:val="72"/>
          <w:lang w:val="en-US" w:eastAsia="zh-CN"/>
        </w:rPr>
        <w:t>20</w:t>
      </w:r>
      <w:r>
        <w:rPr>
          <w:rFonts w:hint="eastAsia" w:ascii="方正小标宋简体" w:hAnsi="宋体" w:eastAsia="方正小标宋简体"/>
          <w:b/>
          <w:bCs/>
          <w:color w:val="000000"/>
          <w:sz w:val="72"/>
          <w:szCs w:val="72"/>
        </w:rPr>
        <w:t>年度</w:t>
      </w:r>
      <w:bookmarkEnd w:id="1"/>
      <w:bookmarkEnd w:id="2"/>
      <w:bookmarkEnd w:id="3"/>
      <w:bookmarkEnd w:id="4"/>
      <w:bookmarkEnd w:id="5"/>
    </w:p>
    <w:bookmarkEnd w:id="0"/>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hint="eastAsia" w:ascii="方正小标宋简体" w:hAnsi="宋体" w:eastAsia="方正小标宋简体"/>
          <w:b/>
          <w:bCs/>
          <w:color w:val="000000"/>
          <w:sz w:val="72"/>
          <w:szCs w:val="72"/>
          <w:lang w:eastAsia="zh-CN"/>
        </w:rPr>
      </w:pPr>
      <w:bookmarkStart w:id="6" w:name="_Toc15377194"/>
      <w:bookmarkStart w:id="7" w:name="_Toc15396476"/>
      <w:bookmarkStart w:id="8" w:name="_Toc15378442"/>
      <w:bookmarkStart w:id="9" w:name="_Toc15396598"/>
      <w:bookmarkStart w:id="10" w:name="_Toc15377426"/>
      <w:r>
        <w:rPr>
          <w:rFonts w:hint="eastAsia" w:ascii="方正小标宋简体" w:hAnsi="宋体" w:eastAsia="方正小标宋简体"/>
          <w:b/>
          <w:bCs/>
          <w:color w:val="000000"/>
          <w:sz w:val="72"/>
          <w:szCs w:val="72"/>
        </w:rPr>
        <w:t>四川省广元市</w:t>
      </w:r>
      <w:bookmarkStart w:id="11" w:name="_Toc15306268"/>
      <w:r>
        <w:rPr>
          <w:rFonts w:hint="eastAsia" w:ascii="方正小标宋简体" w:hAnsi="宋体" w:eastAsia="方正小标宋简体"/>
          <w:b/>
          <w:bCs/>
          <w:color w:val="000000"/>
          <w:sz w:val="72"/>
          <w:szCs w:val="72"/>
          <w:lang w:eastAsia="zh-CN"/>
        </w:rPr>
        <w:t>群众工作</w:t>
      </w:r>
    </w:p>
    <w:p>
      <w:pPr>
        <w:keepNext w:val="0"/>
        <w:keepLines w:val="0"/>
        <w:pageBreakBefore w:val="0"/>
        <w:widowControl w:val="0"/>
        <w:kinsoku/>
        <w:wordWrap/>
        <w:overflowPunct/>
        <w:topLinePunct w:val="0"/>
        <w:autoSpaceDE/>
        <w:autoSpaceDN/>
        <w:bidi w:val="0"/>
        <w:adjustRightInd w:val="0"/>
        <w:snapToGrid w:val="0"/>
        <w:spacing w:line="1000" w:lineRule="exact"/>
        <w:jc w:val="center"/>
        <w:textAlignment w:val="auto"/>
        <w:outlineLvl w:val="0"/>
        <w:rPr>
          <w:rFonts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lang w:eastAsia="zh-CN"/>
        </w:rPr>
        <w:t>中心</w:t>
      </w:r>
      <w:r>
        <w:rPr>
          <w:rFonts w:hint="eastAsia" w:ascii="方正小标宋简体" w:hAnsi="宋体" w:eastAsia="方正小标宋简体"/>
          <w:b/>
          <w:bCs/>
          <w:color w:val="000000"/>
          <w:sz w:val="72"/>
          <w:szCs w:val="72"/>
        </w:rPr>
        <w:t>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编</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制</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hint="eastAsia"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说</w:t>
      </w:r>
    </w:p>
    <w:p>
      <w:pPr>
        <w:pStyle w:val="2"/>
        <w:keepNext w:val="0"/>
        <w:keepLines w:val="0"/>
        <w:pageBreakBefore w:val="0"/>
        <w:widowControl w:val="0"/>
        <w:kinsoku/>
        <w:wordWrap/>
        <w:overflowPunct/>
        <w:topLinePunct w:val="0"/>
        <w:autoSpaceDE/>
        <w:autoSpaceDN/>
        <w:bidi w:val="0"/>
        <w:spacing w:line="800" w:lineRule="exact"/>
        <w:textAlignment w:val="auto"/>
        <w:rPr>
          <w:b/>
          <w:bCs/>
        </w:rPr>
      </w:pPr>
    </w:p>
    <w:p>
      <w:pPr>
        <w:keepNext w:val="0"/>
        <w:keepLines w:val="0"/>
        <w:pageBreakBefore w:val="0"/>
        <w:widowControl w:val="0"/>
        <w:kinsoku/>
        <w:wordWrap/>
        <w:overflowPunct/>
        <w:topLinePunct w:val="0"/>
        <w:autoSpaceDE/>
        <w:autoSpaceDN/>
        <w:bidi w:val="0"/>
        <w:adjustRightInd w:val="0"/>
        <w:snapToGrid w:val="0"/>
        <w:spacing w:line="800" w:lineRule="exact"/>
        <w:jc w:val="center"/>
        <w:textAlignment w:val="auto"/>
        <w:outlineLvl w:val="0"/>
        <w:rPr>
          <w:rFonts w:ascii="方正小标宋简体" w:hAnsi="宋体" w:eastAsia="方正小标宋简体"/>
          <w:b/>
          <w:bCs/>
          <w:color w:val="000000"/>
          <w:sz w:val="72"/>
          <w:szCs w:val="72"/>
        </w:rPr>
      </w:pPr>
      <w:r>
        <w:rPr>
          <w:rFonts w:hint="eastAsia" w:ascii="方正小标宋简体" w:hAnsi="宋体" w:eastAsia="方正小标宋简体"/>
          <w:b/>
          <w:bCs/>
          <w:color w:val="000000"/>
          <w:sz w:val="72"/>
          <w:szCs w:val="72"/>
        </w:rPr>
        <w:t>明</w:t>
      </w:r>
    </w:p>
    <w:p>
      <w:pPr>
        <w:pageBreakBefore w:val="0"/>
        <w:widowControl/>
        <w:kinsoku/>
        <w:wordWrap/>
        <w:overflowPunct/>
        <w:topLinePunct w:val="0"/>
        <w:bidi w:val="0"/>
        <w:spacing w:line="576" w:lineRule="exact"/>
        <w:jc w:val="center"/>
        <w:rPr>
          <w:rFonts w:hint="eastAsia" w:ascii="黑体" w:hAnsi="黑体" w:eastAsia="黑体"/>
          <w:b/>
          <w:bCs/>
          <w:color w:val="000000"/>
          <w:sz w:val="48"/>
          <w:szCs w:val="48"/>
        </w:rPr>
      </w:pPr>
      <w:r>
        <w:rPr>
          <w:rFonts w:ascii="方正小标宋简体" w:hAnsi="宋体" w:eastAsia="方正小标宋简体"/>
          <w:b/>
          <w:bCs/>
          <w:color w:val="000000"/>
          <w:sz w:val="36"/>
          <w:szCs w:val="36"/>
        </w:rPr>
        <w:br w:type="page"/>
      </w:r>
      <w:r>
        <w:rPr>
          <w:rFonts w:hint="eastAsia" w:ascii="黑体" w:hAnsi="黑体" w:eastAsia="黑体"/>
          <w:b/>
          <w:bCs/>
          <w:color w:val="000000"/>
          <w:sz w:val="48"/>
          <w:szCs w:val="48"/>
        </w:rPr>
        <w:t>目录</w:t>
      </w:r>
    </w:p>
    <w:p>
      <w:pPr>
        <w:pStyle w:val="10"/>
        <w:rPr>
          <w:rFonts w:hint="eastAsia" w:asciiTheme="minorEastAsia" w:hAnsiTheme="minorEastAsia" w:eastAsiaTheme="minorEastAsia" w:cstheme="minorEastAsia"/>
          <w:b/>
          <w:bCs/>
        </w:rPr>
      </w:pPr>
      <w:r>
        <w:rPr>
          <w:rStyle w:val="26"/>
          <w:rFonts w:hint="eastAsia" w:asciiTheme="minorEastAsia" w:hAnsiTheme="minorEastAsia" w:eastAsiaTheme="minorEastAsia" w:cstheme="minorEastAsia"/>
          <w:b/>
          <w:bCs/>
          <w:lang w:val="en-US" w:eastAsia="zh-CN" w:bidi="ar-SA"/>
        </w:rPr>
        <w:t>公开时间：2020年9月17日</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第一部分 部门概况</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一、基本职能及主要工作</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二、机构设置</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6</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第二部分</w:t>
      </w:r>
      <w:r>
        <w:rPr>
          <w:rFonts w:hint="eastAsia" w:asciiTheme="minorEastAsia" w:hAnsiTheme="minorEastAsia" w:eastAsiaTheme="minorEastAsia" w:cstheme="minorEastAsia"/>
          <w:b/>
          <w:bCs/>
          <w:sz w:val="32"/>
          <w:szCs w:val="36"/>
          <w:lang w:val="en-US" w:eastAsia="zh-CN"/>
        </w:rPr>
        <w:t xml:space="preserve"> 2020年度</w:t>
      </w:r>
      <w:r>
        <w:rPr>
          <w:rFonts w:hint="eastAsia" w:asciiTheme="minorEastAsia" w:hAnsiTheme="minorEastAsia" w:eastAsiaTheme="minorEastAsia" w:cstheme="minorEastAsia"/>
          <w:b/>
          <w:bCs/>
          <w:sz w:val="32"/>
          <w:szCs w:val="36"/>
        </w:rPr>
        <w:t>部门决算情况说明</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一、收入支出决算总体情况说明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二、收入决算情况说明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三、支出决算情况说明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8</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四、财政拨款收入支出决算总体情况说明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9</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五、一般公共预算财政拨款支出决算情况说明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9</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六、一般公共预算财政拨款基本支出决算情况说明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12</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七、“三公”经费财政拨款支出决算情况说明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13</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八、政府性基金预算支出决算情况说明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14</w:t>
      </w:r>
    </w:p>
    <w:p>
      <w:pPr>
        <w:pStyle w:val="11"/>
        <w:pageBreakBefore w:val="0"/>
        <w:kinsoku/>
        <w:wordWrap/>
        <w:overflowPunct/>
        <w:topLinePunct w:val="0"/>
        <w:bidi w:val="0"/>
        <w:adjustRightInd w:val="0"/>
        <w:snapToGrid w:val="0"/>
        <w:spacing w:line="576" w:lineRule="exact"/>
        <w:ind w:leftChars="0"/>
        <w:jc w:val="both"/>
        <w:rPr>
          <w:rStyle w:val="26"/>
          <w:rFonts w:hint="default" w:ascii="仿宋" w:hAnsi="仿宋" w:eastAsia="仿宋"/>
          <w:b/>
          <w:bCs/>
          <w:lang w:val="en-US" w:eastAsia="zh-CN" w:bidi="ar-SA"/>
        </w:rPr>
      </w:pPr>
      <w:r>
        <w:rPr>
          <w:rFonts w:hint="eastAsia" w:asciiTheme="minorEastAsia" w:hAnsiTheme="minorEastAsia" w:eastAsiaTheme="minorEastAsia" w:cstheme="minorEastAsia"/>
          <w:b/>
          <w:bCs/>
          <w:sz w:val="32"/>
          <w:szCs w:val="32"/>
        </w:rPr>
        <w:t>九、 国有资本经营预算支出决算情况说明</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14</w:t>
      </w:r>
    </w:p>
    <w:p>
      <w:pPr>
        <w:jc w:val="both"/>
        <w:rPr>
          <w:rStyle w:val="26"/>
          <w:rFonts w:hint="default" w:ascii="仿宋" w:hAnsi="仿宋" w:eastAsia="仿宋"/>
          <w:b/>
          <w:bCs/>
          <w:lang w:val="en-US" w:eastAsia="zh-CN" w:bidi="ar-SA"/>
        </w:rPr>
      </w:pPr>
      <w:r>
        <w:rPr>
          <w:rStyle w:val="26"/>
          <w:rFonts w:hint="eastAsia" w:ascii="仿宋" w:hAnsi="仿宋" w:eastAsia="仿宋"/>
          <w:b/>
          <w:bCs/>
          <w:lang w:val="en-US" w:eastAsia="zh-CN" w:bidi="ar-SA"/>
        </w:rPr>
        <w:t xml:space="preserve"> </w:t>
      </w:r>
      <w:r>
        <w:rPr>
          <w:rStyle w:val="26"/>
          <w:rFonts w:hint="eastAsia" w:asciiTheme="minorEastAsia" w:hAnsiTheme="minorEastAsia" w:eastAsiaTheme="minorEastAsia" w:cstheme="minorEastAsia"/>
          <w:b/>
          <w:bCs/>
          <w:sz w:val="32"/>
          <w:szCs w:val="32"/>
          <w:lang w:val="en-US" w:eastAsia="zh-CN" w:bidi="ar-SA"/>
        </w:rPr>
        <w:t xml:space="preserve"> </w:t>
      </w:r>
      <w:r>
        <w:rPr>
          <w:rFonts w:hint="eastAsia" w:asciiTheme="minorEastAsia" w:hAnsiTheme="minorEastAsia" w:eastAsiaTheme="minorEastAsia" w:cstheme="minorEastAsia"/>
          <w:b/>
          <w:bCs/>
          <w:kern w:val="2"/>
          <w:sz w:val="32"/>
          <w:szCs w:val="32"/>
          <w:lang w:val="en-US" w:eastAsia="zh-CN" w:bidi="ar-SA"/>
        </w:rPr>
        <w:t>十、企业重要事项的情况说明</w:t>
      </w:r>
      <w:r>
        <w:rPr>
          <w:rStyle w:val="26"/>
          <w:rFonts w:hint="eastAsia" w:ascii="仿宋" w:hAnsi="仿宋" w:eastAsia="仿宋"/>
          <w:b/>
          <w:bCs/>
          <w:lang w:val="en-US" w:eastAsia="zh-CN" w:bidi="ar-SA"/>
        </w:rPr>
        <w:t>……………………………14</w:t>
      </w:r>
    </w:p>
    <w:p>
      <w:pPr>
        <w:jc w:val="both"/>
        <w:rPr>
          <w:rFonts w:hint="default" w:asciiTheme="minorEastAsia" w:hAnsiTheme="minorEastAsia" w:eastAsiaTheme="minorEastAsia" w:cstheme="minorEastAsia"/>
          <w:b/>
          <w:bCs/>
          <w:sz w:val="32"/>
          <w:szCs w:val="32"/>
          <w:lang w:val="en-US"/>
        </w:rPr>
      </w:pPr>
      <w:r>
        <w:rPr>
          <w:rStyle w:val="26"/>
          <w:rFonts w:hint="eastAsia" w:ascii="仿宋" w:hAnsi="仿宋" w:eastAsia="仿宋"/>
          <w:b/>
          <w:bCs/>
          <w:lang w:val="en-US" w:eastAsia="zh-CN" w:bidi="ar-SA"/>
        </w:rPr>
        <w:t>第三部分 名词解释…………………………………………19</w:t>
      </w:r>
      <w:r>
        <w:rPr>
          <w:rFonts w:hint="eastAsia" w:asciiTheme="minorEastAsia" w:hAnsiTheme="minorEastAsia" w:eastAsiaTheme="minorEastAsia" w:cstheme="minorEastAsia"/>
          <w:b/>
          <w:bCs/>
          <w:sz w:val="32"/>
          <w:szCs w:val="36"/>
        </w:rPr>
        <w:t>第四部分 附件</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附件1</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22</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附件2</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0"/>
        <w:pageBreakBefore w:val="0"/>
        <w:kinsoku/>
        <w:wordWrap/>
        <w:overflowPunct/>
        <w:topLinePunct w:val="0"/>
        <w:bidi w:val="0"/>
        <w:adjustRightInd w:val="0"/>
        <w:snapToGrid w:val="0"/>
        <w:spacing w:before="0" w:line="576" w:lineRule="exact"/>
        <w:jc w:val="both"/>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6"/>
        </w:rPr>
        <w:t>第五部分 附表</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一、收入支出决算总表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二、收入决算表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三、支出决算表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四、财政拨款收入支出决算总表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五、财政拨款支出决算明细表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六、一般公共预算财政拨款支出决算表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七、一般公共预算财政拨款支出决算明细表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八、一般公共预算财政拨款基本支出决算表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九、一般公共预算财政拨款项目支出决算表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十、一般公共预算财政拨款“三公”经费支出决算表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十一、政府性基金预算财政拨款收入支出决算表</w:t>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Fonts w:hint="default" w:asciiTheme="minorEastAsia" w:hAnsiTheme="minorEastAsia" w:eastAsiaTheme="minorEastAsia" w:cstheme="minorEastAsia"/>
          <w:b/>
          <w:bCs/>
          <w:sz w:val="32"/>
          <w:szCs w:val="32"/>
          <w:lang w:val="en-US"/>
        </w:rPr>
      </w:pPr>
      <w:r>
        <w:rPr>
          <w:rFonts w:hint="eastAsia" w:asciiTheme="minorEastAsia" w:hAnsiTheme="minorEastAsia" w:eastAsiaTheme="minorEastAsia" w:cstheme="minorEastAsia"/>
          <w:b/>
          <w:bCs/>
          <w:sz w:val="32"/>
          <w:szCs w:val="32"/>
        </w:rPr>
        <w:t>十二、</w:t>
      </w:r>
      <w:r>
        <w:rPr>
          <w:rFonts w:hint="eastAsia" w:asciiTheme="minorEastAsia" w:hAnsiTheme="minorEastAsia" w:eastAsiaTheme="minorEastAsia" w:cstheme="minorEastAsia"/>
          <w:b/>
          <w:bCs/>
          <w:spacing w:val="-20"/>
          <w:sz w:val="32"/>
          <w:szCs w:val="32"/>
        </w:rPr>
        <w:t>政府性基金预算财政拨款“三公”经费支</w:t>
      </w:r>
      <w:r>
        <w:rPr>
          <w:rFonts w:hint="eastAsia" w:asciiTheme="minorEastAsia" w:hAnsiTheme="minorEastAsia" w:eastAsiaTheme="minorEastAsia" w:cstheme="minorEastAsia"/>
          <w:b/>
          <w:bCs/>
          <w:sz w:val="32"/>
          <w:szCs w:val="32"/>
        </w:rPr>
        <w:t>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25</w:t>
      </w:r>
    </w:p>
    <w:p>
      <w:pPr>
        <w:pStyle w:val="11"/>
        <w:pageBreakBefore w:val="0"/>
        <w:kinsoku/>
        <w:wordWrap/>
        <w:overflowPunct/>
        <w:topLinePunct w:val="0"/>
        <w:bidi w:val="0"/>
        <w:adjustRightInd w:val="0"/>
        <w:snapToGrid w:val="0"/>
        <w:spacing w:line="576" w:lineRule="exact"/>
        <w:jc w:val="both"/>
        <w:rPr>
          <w:rStyle w:val="26"/>
          <w:rFonts w:hint="eastAsia" w:ascii="仿宋" w:hAnsi="仿宋" w:eastAsia="仿宋"/>
          <w:b/>
          <w:bCs/>
          <w:lang w:val="en-US" w:eastAsia="zh-CN" w:bidi="ar-SA"/>
        </w:rPr>
      </w:pPr>
      <w:bookmarkStart w:id="12" w:name="_Toc15396599"/>
      <w:bookmarkStart w:id="13" w:name="_Toc15377196"/>
      <w:r>
        <w:rPr>
          <w:rFonts w:hint="eastAsia" w:asciiTheme="minorEastAsia" w:hAnsiTheme="minorEastAsia" w:eastAsiaTheme="minorEastAsia" w:cstheme="minorEastAsia"/>
          <w:b/>
          <w:bCs/>
          <w:sz w:val="32"/>
          <w:szCs w:val="32"/>
        </w:rPr>
        <w:t>十三、</w:t>
      </w:r>
      <w:r>
        <w:rPr>
          <w:rFonts w:hint="eastAsia" w:asciiTheme="minorEastAsia" w:hAnsiTheme="minorEastAsia" w:eastAsiaTheme="minorEastAsia" w:cstheme="minorEastAsia"/>
          <w:b/>
          <w:bCs/>
          <w:spacing w:val="-20"/>
          <w:sz w:val="32"/>
          <w:szCs w:val="32"/>
        </w:rPr>
        <w:t>国有资本经营预算</w:t>
      </w:r>
      <w:r>
        <w:rPr>
          <w:rFonts w:hint="eastAsia" w:asciiTheme="minorEastAsia" w:hAnsiTheme="minorEastAsia" w:eastAsiaTheme="minorEastAsia" w:cstheme="minorEastAsia"/>
          <w:b/>
          <w:bCs/>
          <w:spacing w:val="-20"/>
          <w:sz w:val="32"/>
          <w:szCs w:val="32"/>
          <w:lang w:eastAsia="zh-CN"/>
        </w:rPr>
        <w:t>财政拨款收入</w:t>
      </w:r>
      <w:r>
        <w:rPr>
          <w:rFonts w:hint="eastAsia" w:asciiTheme="minorEastAsia" w:hAnsiTheme="minorEastAsia" w:eastAsiaTheme="minorEastAsia" w:cstheme="minorEastAsia"/>
          <w:b/>
          <w:bCs/>
          <w:spacing w:val="-20"/>
          <w:sz w:val="32"/>
          <w:szCs w:val="32"/>
        </w:rPr>
        <w:t>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p>
    <w:p>
      <w:pPr>
        <w:pStyle w:val="11"/>
        <w:pageBreakBefore w:val="0"/>
        <w:kinsoku/>
        <w:wordWrap/>
        <w:overflowPunct/>
        <w:topLinePunct w:val="0"/>
        <w:bidi w:val="0"/>
        <w:adjustRightInd w:val="0"/>
        <w:snapToGrid w:val="0"/>
        <w:spacing w:line="576" w:lineRule="exact"/>
        <w:jc w:val="both"/>
        <w:rPr>
          <w:rFonts w:hint="default" w:ascii="仿宋" w:hAnsi="仿宋" w:eastAsia="仿宋"/>
          <w:b/>
          <w:bCs/>
          <w:color w:val="000000" w:themeColor="text1"/>
          <w:lang w:val="en-US"/>
          <w14:textFill>
            <w14:solidFill>
              <w14:schemeClr w14:val="tx1"/>
            </w14:solidFill>
          </w14:textFill>
        </w:rPr>
      </w:pPr>
      <w:r>
        <w:rPr>
          <w:rFonts w:hint="eastAsia" w:asciiTheme="minorEastAsia" w:hAnsiTheme="minorEastAsia" w:eastAsiaTheme="minorEastAsia" w:cstheme="minorEastAsia"/>
          <w:b/>
          <w:bCs/>
          <w:sz w:val="32"/>
          <w:szCs w:val="32"/>
          <w:lang w:eastAsia="zh-CN"/>
        </w:rPr>
        <w:t>十四、</w:t>
      </w:r>
      <w:r>
        <w:rPr>
          <w:rFonts w:hint="eastAsia" w:asciiTheme="minorEastAsia" w:hAnsiTheme="minorEastAsia" w:eastAsiaTheme="minorEastAsia" w:cstheme="minorEastAsia"/>
          <w:b/>
          <w:bCs/>
          <w:spacing w:val="-20"/>
          <w:sz w:val="32"/>
          <w:szCs w:val="32"/>
        </w:rPr>
        <w:t>国有资本经营预算</w:t>
      </w:r>
      <w:r>
        <w:rPr>
          <w:rFonts w:hint="eastAsia" w:asciiTheme="minorEastAsia" w:hAnsiTheme="minorEastAsia" w:eastAsiaTheme="minorEastAsia" w:cstheme="minorEastAsia"/>
          <w:b/>
          <w:bCs/>
          <w:spacing w:val="-20"/>
          <w:sz w:val="32"/>
          <w:szCs w:val="32"/>
          <w:lang w:eastAsia="zh-CN"/>
        </w:rPr>
        <w:t>财政拨款</w:t>
      </w:r>
      <w:r>
        <w:rPr>
          <w:rFonts w:hint="eastAsia" w:asciiTheme="minorEastAsia" w:hAnsiTheme="minorEastAsia" w:eastAsiaTheme="minorEastAsia" w:cstheme="minorEastAsia"/>
          <w:b/>
          <w:bCs/>
          <w:spacing w:val="-20"/>
          <w:sz w:val="32"/>
          <w:szCs w:val="32"/>
        </w:rPr>
        <w:t>支出决算表</w:t>
      </w:r>
      <w:r>
        <w:rPr>
          <w:rStyle w:val="26"/>
          <w:rFonts w:hint="eastAsia" w:ascii="仿宋" w:hAnsi="仿宋" w:eastAsia="仿宋"/>
          <w:b/>
          <w:bCs/>
          <w:lang w:val="en-US" w:eastAsia="zh-CN" w:bidi="ar-SA"/>
        </w:rPr>
        <w:tab/>
      </w:r>
      <w:r>
        <w:rPr>
          <w:rStyle w:val="26"/>
          <w:rFonts w:hint="eastAsia" w:ascii="仿宋" w:hAnsi="仿宋" w:eastAsia="仿宋"/>
          <w:b/>
          <w:bCs/>
          <w:lang w:val="en-US" w:eastAsia="zh-CN" w:bidi="ar-SA"/>
        </w:rPr>
        <w:t>44</w:t>
      </w:r>
    </w:p>
    <w:p>
      <w:pPr>
        <w:pStyle w:val="2"/>
        <w:rPr>
          <w:rFonts w:hint="eastAsia" w:asciiTheme="minorEastAsia" w:hAnsiTheme="minorEastAsia" w:eastAsiaTheme="minorEastAsia" w:cstheme="minorEastAsia"/>
          <w:b/>
          <w:bCs/>
          <w:kern w:val="44"/>
          <w:sz w:val="32"/>
          <w:szCs w:val="32"/>
        </w:rPr>
      </w:pPr>
    </w:p>
    <w:p>
      <w:pPr>
        <w:pStyle w:val="2"/>
        <w:rPr>
          <w:rFonts w:hint="eastAsia" w:asciiTheme="minorEastAsia" w:hAnsiTheme="minorEastAsia" w:eastAsiaTheme="minorEastAsia" w:cstheme="minorEastAsia"/>
          <w:b/>
          <w:bCs/>
          <w:kern w:val="44"/>
          <w:sz w:val="32"/>
          <w:szCs w:val="32"/>
        </w:rPr>
      </w:pPr>
    </w:p>
    <w:p>
      <w:pPr>
        <w:pStyle w:val="2"/>
        <w:rPr>
          <w:rFonts w:hint="eastAsia" w:asciiTheme="minorEastAsia" w:hAnsiTheme="minorEastAsia" w:eastAsiaTheme="minorEastAsia" w:cstheme="minorEastAsia"/>
          <w:b/>
          <w:bCs/>
          <w:kern w:val="44"/>
          <w:sz w:val="32"/>
          <w:szCs w:val="32"/>
        </w:rPr>
      </w:pPr>
    </w:p>
    <w:p>
      <w:pPr>
        <w:pStyle w:val="2"/>
        <w:rPr>
          <w:rFonts w:hint="eastAsia" w:asciiTheme="minorEastAsia" w:hAnsiTheme="minorEastAsia" w:eastAsiaTheme="minorEastAsia" w:cstheme="minorEastAsia"/>
          <w:b/>
          <w:bCs/>
          <w:kern w:val="44"/>
          <w:sz w:val="32"/>
          <w:szCs w:val="32"/>
        </w:rPr>
      </w:pPr>
    </w:p>
    <w:p>
      <w:pPr>
        <w:pStyle w:val="2"/>
        <w:rPr>
          <w:rFonts w:hint="eastAsia" w:asciiTheme="minorEastAsia" w:hAnsiTheme="minorEastAsia" w:eastAsiaTheme="minorEastAsia" w:cstheme="minorEastAsia"/>
          <w:b/>
          <w:bCs/>
          <w:kern w:val="44"/>
          <w:sz w:val="32"/>
          <w:szCs w:val="32"/>
        </w:rPr>
      </w:pPr>
    </w:p>
    <w:p>
      <w:pPr>
        <w:pStyle w:val="2"/>
        <w:rPr>
          <w:rFonts w:hint="eastAsia" w:asciiTheme="minorEastAsia" w:hAnsiTheme="minorEastAsia" w:eastAsiaTheme="minorEastAsia" w:cstheme="minorEastAsia"/>
          <w:b/>
          <w:bCs/>
          <w:kern w:val="44"/>
          <w:sz w:val="32"/>
          <w:szCs w:val="32"/>
        </w:rPr>
      </w:pPr>
    </w:p>
    <w:p>
      <w:pPr>
        <w:pStyle w:val="2"/>
        <w:rPr>
          <w:rFonts w:hint="eastAsia" w:asciiTheme="minorEastAsia" w:hAnsiTheme="minorEastAsia" w:eastAsiaTheme="minorEastAsia" w:cstheme="minorEastAsia"/>
          <w:b/>
          <w:bCs/>
          <w:kern w:val="44"/>
          <w:sz w:val="32"/>
          <w:szCs w:val="32"/>
        </w:rPr>
      </w:pPr>
    </w:p>
    <w:p>
      <w:pPr>
        <w:pStyle w:val="2"/>
        <w:rPr>
          <w:rFonts w:hint="eastAsia" w:asciiTheme="minorEastAsia" w:hAnsiTheme="minorEastAsia" w:eastAsiaTheme="minorEastAsia" w:cstheme="minorEastAsia"/>
          <w:b/>
          <w:bCs/>
          <w:kern w:val="44"/>
          <w:sz w:val="32"/>
          <w:szCs w:val="32"/>
        </w:rPr>
      </w:pPr>
    </w:p>
    <w:p>
      <w:pPr>
        <w:pStyle w:val="2"/>
        <w:rPr>
          <w:rFonts w:hint="eastAsia" w:asciiTheme="minorEastAsia" w:hAnsiTheme="minorEastAsia" w:eastAsiaTheme="minorEastAsia" w:cstheme="minorEastAsia"/>
          <w:b/>
          <w:bCs/>
          <w:kern w:val="44"/>
          <w:sz w:val="32"/>
          <w:szCs w:val="32"/>
        </w:rPr>
      </w:pPr>
    </w:p>
    <w:p>
      <w:pPr>
        <w:pStyle w:val="3"/>
        <w:pageBreakBefore w:val="0"/>
        <w:kinsoku/>
        <w:wordWrap/>
        <w:overflowPunct/>
        <w:topLinePunct w:val="0"/>
        <w:bidi w:val="0"/>
        <w:spacing w:line="576" w:lineRule="exact"/>
        <w:jc w:val="center"/>
        <w:rPr>
          <w:rFonts w:hint="eastAsia" w:ascii="方正小标宋简体" w:hAnsi="华文中宋" w:eastAsia="方正小标宋简体" w:cstheme="minorBidi"/>
          <w:b/>
          <w:bCs/>
          <w:color w:val="000000"/>
          <w:kern w:val="2"/>
          <w:sz w:val="44"/>
          <w:szCs w:val="44"/>
          <w:lang w:val="en-US" w:eastAsia="zh-CN" w:bidi="ar-SA"/>
        </w:rPr>
      </w:pPr>
      <w:r>
        <w:rPr>
          <w:rFonts w:hint="eastAsia" w:ascii="方正小标宋简体" w:hAnsi="华文中宋" w:eastAsia="方正小标宋简体" w:cstheme="minorBidi"/>
          <w:b/>
          <w:bCs/>
          <w:color w:val="000000"/>
          <w:kern w:val="2"/>
          <w:sz w:val="44"/>
          <w:szCs w:val="44"/>
          <w:lang w:val="en-US" w:eastAsia="zh-CN" w:bidi="ar-SA"/>
        </w:rPr>
        <w:t>第一部分 部门概况</w:t>
      </w:r>
      <w:bookmarkEnd w:id="12"/>
      <w:bookmarkEnd w:id="13"/>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黑体" w:hAnsi="黑体" w:eastAsia="黑体" w:cs="黑体"/>
          <w:b/>
          <w:bCs/>
          <w:color w:val="000000"/>
          <w:sz w:val="32"/>
          <w:szCs w:val="32"/>
        </w:rPr>
      </w:pPr>
      <w:bookmarkStart w:id="14" w:name="_Toc15377197"/>
      <w:bookmarkStart w:id="15" w:name="_Toc15396600"/>
      <w:r>
        <w:rPr>
          <w:rFonts w:hint="eastAsia" w:ascii="黑体" w:hAnsi="黑体" w:eastAsia="黑体" w:cs="黑体"/>
          <w:b/>
          <w:bCs/>
          <w:color w:val="000000"/>
          <w:sz w:val="32"/>
          <w:szCs w:val="32"/>
        </w:rPr>
        <w:t>一、基本职能及主要工作</w:t>
      </w:r>
      <w:bookmarkEnd w:id="14"/>
      <w:bookmarkEnd w:id="15"/>
      <w:bookmarkStart w:id="16" w:name="_Toc15378445"/>
      <w:bookmarkStart w:id="17" w:name="_Toc15377198"/>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（一）主要职能。</w:t>
      </w:r>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b/>
          <w:bCs/>
          <w:sz w:val="32"/>
          <w:szCs w:val="32"/>
          <w:lang w:eastAsia="zh-CN"/>
        </w:rPr>
      </w:pPr>
      <w:bookmarkStart w:id="18" w:name="_Toc15378446"/>
      <w:bookmarkStart w:id="19" w:name="_Toc15377199"/>
      <w:r>
        <w:rPr>
          <w:rFonts w:hint="eastAsia" w:ascii="仿宋_GB2312" w:hAnsi="仿宋_GB2312" w:eastAsia="仿宋_GB2312" w:cs="仿宋_GB2312"/>
          <w:b/>
          <w:bCs/>
          <w:sz w:val="32"/>
          <w:szCs w:val="32"/>
          <w:lang w:val="en-US" w:eastAsia="zh-CN"/>
        </w:rPr>
        <w:t>1、承办</w:t>
      </w:r>
      <w:r>
        <w:rPr>
          <w:rFonts w:hint="eastAsia" w:ascii="仿宋_GB2312" w:hAnsi="仿宋_GB2312" w:eastAsia="仿宋_GB2312" w:cs="仿宋_GB2312"/>
          <w:b/>
          <w:bCs/>
          <w:sz w:val="32"/>
          <w:szCs w:val="32"/>
        </w:rPr>
        <w:t>书记市长信箱信件批转、办理，依法处理群众诉求，回复群众咨询、意见和建议，及日常管理维护等事务工作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2、负责</w:t>
      </w:r>
      <w:r>
        <w:rPr>
          <w:rFonts w:hint="eastAsia" w:ascii="仿宋_GB2312" w:hAnsi="仿宋_GB2312" w:eastAsia="仿宋_GB2312" w:cs="仿宋_GB2312"/>
          <w:b/>
          <w:bCs/>
          <w:sz w:val="32"/>
          <w:szCs w:val="32"/>
        </w:rPr>
        <w:t>信访法规宣传，参与进京到省上访、跨区域信访等特殊群体人员信访法制教育工作</w:t>
      </w:r>
      <w:r>
        <w:rPr>
          <w:rFonts w:hint="eastAsia" w:ascii="仿宋_GB2312" w:hAnsi="仿宋_GB2312" w:eastAsia="仿宋_GB2312" w:cs="仿宋_GB2312"/>
          <w:b/>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3、开展对</w:t>
      </w:r>
      <w:r>
        <w:rPr>
          <w:rFonts w:hint="eastAsia" w:ascii="仿宋_GB2312" w:hAnsi="仿宋_GB2312" w:eastAsia="仿宋_GB2312" w:cs="仿宋_GB2312"/>
          <w:b/>
          <w:bCs/>
          <w:sz w:val="32"/>
          <w:szCs w:val="32"/>
          <w:lang w:eastAsia="zh-CN"/>
        </w:rPr>
        <w:t>困难信访群众的帮扶、救助等工作。</w:t>
      </w:r>
    </w:p>
    <w:p>
      <w:pPr>
        <w:pStyle w:val="2"/>
        <w:keepNext w:val="0"/>
        <w:keepLines w:val="0"/>
        <w:pageBreakBefore w:val="0"/>
        <w:widowControl w:val="0"/>
        <w:kinsoku/>
        <w:wordWrap/>
        <w:overflowPunct/>
        <w:topLinePunct w:val="0"/>
        <w:autoSpaceDE/>
        <w:autoSpaceDN/>
        <w:bidi w:val="0"/>
        <w:adjustRightInd w:val="0"/>
        <w:snapToGrid w:val="0"/>
        <w:spacing w:before="93" w:line="576" w:lineRule="exact"/>
        <w:ind w:firstLine="674" w:firstLineChars="210"/>
        <w:textAlignment w:val="auto"/>
        <w:outlineLvl w:val="2"/>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（二）2020年重点工作完成情况。</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b/>
          <w:bCs/>
          <w:sz w:val="32"/>
          <w:szCs w:val="32"/>
        </w:rPr>
        <w:t>严格落实依法逐级走访规定，不断畅通网络信访渠道，全市网上信访占比67.0%，信访渠道良性好转。持续强化信访部门“耐心听”理念，疏导信访人情绪合理宣泄，缓解对抗；健全完善接访应急处置机制，成功接待处置了图腾广场、南河小商品市场搬迁、煤矿职工、民工讨薪等多起群体性重大集访。结合扫黑除恶专项行动，扎实推进“依法办”治理，依法处理信访违法行为；始终绷紧维护稳定这根弦，扎实开展“保节点”矛盾纠纷隐患排查化解，建立社情民意收集分析制度，对区划调整、商贸、煤矿等重点领域调研预判，有效防范化解稳定风险；全力保障了国省“两会”、全省现代农业园区建设现场会等重要节点稳定。全市进京访下降49.5%，到省访下降52.2%，青川县、昭化区、朝天区被国家信访局评定为“三无”县区。同时充分发挥广元北向东出特殊地理位置优势，协助兄弟市州做好信访稳定工作，为全省社会大局和谐稳定作出积极贡献。</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黑体" w:hAnsi="黑体" w:eastAsia="黑体" w:cs="黑体"/>
          <w:b/>
          <w:bCs/>
          <w:color w:val="000000"/>
          <w:sz w:val="32"/>
          <w:szCs w:val="32"/>
          <w:lang w:val="en-US" w:eastAsia="zh-CN"/>
        </w:rPr>
      </w:pPr>
      <w:bookmarkStart w:id="20" w:name="_Toc15377200"/>
      <w:bookmarkStart w:id="21" w:name="_Toc15396601"/>
      <w:r>
        <w:rPr>
          <w:rFonts w:hint="eastAsia" w:ascii="黑体" w:hAnsi="黑体" w:eastAsia="黑体" w:cs="黑体"/>
          <w:b/>
          <w:bCs/>
          <w:color w:val="000000"/>
          <w:sz w:val="32"/>
          <w:szCs w:val="32"/>
          <w:lang w:val="en-US" w:eastAsia="zh-CN"/>
        </w:rPr>
        <w:t>二、机构设置</w:t>
      </w:r>
      <w:bookmarkEnd w:id="20"/>
      <w:bookmarkEnd w:id="21"/>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仿宋_GB2312" w:hAnsi="仿宋_GB2312" w:eastAsia="仿宋_GB2312" w:cs="仿宋_GB2312"/>
          <w:b/>
          <w:bCs/>
          <w:sz w:val="32"/>
          <w:szCs w:val="32"/>
          <w:lang w:val="en-US" w:eastAsia="zh-CN"/>
        </w:rPr>
      </w:pPr>
      <w:bookmarkStart w:id="22" w:name="_Toc15377201"/>
      <w:bookmarkStart w:id="23" w:name="_Toc15306275"/>
      <w:bookmarkStart w:id="24" w:name="_Toc15378448"/>
      <w:bookmarkStart w:id="25" w:name="_Toc15377432"/>
      <w:r>
        <w:rPr>
          <w:rFonts w:hint="eastAsia" w:ascii="仿宋_GB2312" w:hAnsi="仿宋_GB2312" w:eastAsia="仿宋_GB2312" w:cs="仿宋_GB2312"/>
          <w:b/>
          <w:bCs/>
          <w:sz w:val="32"/>
          <w:szCs w:val="32"/>
          <w:lang w:val="en-US" w:eastAsia="zh-CN"/>
        </w:rPr>
        <w:t>市群众工作中心内设机构数3个，事业编制12人，在职11人。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2" w:firstLineChars="200"/>
        <w:textAlignment w:val="auto"/>
        <w:outlineLvl w:val="9"/>
        <w:rPr>
          <w:rFonts w:hint="eastAsia" w:ascii="仿宋_GB2312" w:hAnsi="仿宋_GB2312" w:eastAsia="仿宋_GB2312" w:cs="仿宋_GB2312"/>
          <w:b/>
          <w:bCs/>
          <w:sz w:val="32"/>
          <w:szCs w:val="32"/>
          <w:lang w:val="en-US" w:eastAsia="zh-CN"/>
        </w:rPr>
      </w:pPr>
    </w:p>
    <w:bookmarkEnd w:id="22"/>
    <w:bookmarkEnd w:id="23"/>
    <w:bookmarkEnd w:id="24"/>
    <w:bookmarkEnd w:id="25"/>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firstLine="642"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br w:type="page"/>
      </w:r>
    </w:p>
    <w:p>
      <w:pPr>
        <w:pStyle w:val="3"/>
        <w:pageBreakBefore w:val="0"/>
        <w:kinsoku/>
        <w:wordWrap/>
        <w:overflowPunct/>
        <w:topLinePunct w:val="0"/>
        <w:bidi w:val="0"/>
        <w:spacing w:line="576" w:lineRule="exact"/>
        <w:jc w:val="center"/>
        <w:rPr>
          <w:b/>
          <w:bCs/>
        </w:rPr>
      </w:pPr>
      <w:bookmarkStart w:id="26" w:name="_Toc15377204"/>
      <w:bookmarkStart w:id="27" w:name="_Toc15396602"/>
      <w:r>
        <w:rPr>
          <w:rFonts w:hint="eastAsia" w:ascii="方正小标宋简体" w:hAnsi="华文中宋" w:eastAsia="方正小标宋简体" w:cstheme="minorBidi"/>
          <w:b/>
          <w:bCs/>
          <w:color w:val="000000"/>
          <w:kern w:val="2"/>
          <w:sz w:val="44"/>
          <w:szCs w:val="44"/>
          <w:lang w:val="en-US" w:eastAsia="zh-CN" w:bidi="ar-SA"/>
        </w:rPr>
        <w:t>第二部分 2020年度部门决算情况说明</w:t>
      </w:r>
      <w:bookmarkEnd w:id="26"/>
      <w:bookmarkEnd w:id="27"/>
    </w:p>
    <w:p>
      <w:pPr>
        <w:pStyle w:val="24"/>
        <w:pageBreakBefore w:val="0"/>
        <w:numPr>
          <w:ilvl w:val="0"/>
          <w:numId w:val="0"/>
        </w:numPr>
        <w:kinsoku/>
        <w:wordWrap/>
        <w:overflowPunct/>
        <w:topLinePunct w:val="0"/>
        <w:bidi w:val="0"/>
        <w:spacing w:line="576" w:lineRule="exact"/>
        <w:ind w:firstLine="642" w:firstLineChars="200"/>
        <w:outlineLvl w:val="1"/>
        <w:rPr>
          <w:rFonts w:hint="eastAsia" w:ascii="黑体" w:hAnsi="黑体" w:eastAsia="黑体" w:cs="黑体"/>
          <w:b/>
          <w:bCs/>
          <w:color w:val="auto"/>
          <w:kern w:val="2"/>
          <w:sz w:val="32"/>
          <w:szCs w:val="32"/>
          <w:lang w:val="en-US" w:eastAsia="zh-CN" w:bidi="ar-SA"/>
        </w:rPr>
      </w:pPr>
      <w:bookmarkStart w:id="28" w:name="_Toc15377205"/>
      <w:bookmarkStart w:id="29" w:name="_Toc15396603"/>
      <w:r>
        <w:rPr>
          <w:rFonts w:hint="eastAsia" w:ascii="黑体" w:hAnsi="黑体" w:eastAsia="黑体" w:cs="黑体"/>
          <w:b/>
          <w:bCs/>
          <w:color w:val="auto"/>
          <w:kern w:val="2"/>
          <w:sz w:val="32"/>
          <w:szCs w:val="32"/>
          <w:lang w:val="en-US" w:eastAsia="zh-CN" w:bidi="ar-SA"/>
        </w:rPr>
        <w:t>一、收入支出决算总体情况说明</w:t>
      </w:r>
      <w:bookmarkEnd w:id="28"/>
      <w:bookmarkEnd w:id="29"/>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2020年度收、支总计167.47万元。与2019年相比，收、支总计各减少43.56万元，下降20.64%，主要变动原因是人员调出相关经费减少。</w:t>
      </w:r>
    </w:p>
    <w:p>
      <w:pPr>
        <w:pStyle w:val="2"/>
        <w:rPr>
          <w:rFonts w:hint="eastAsia" w:ascii="仿宋_GB2312" w:hAnsi="仿宋_GB2312" w:eastAsia="仿宋_GB2312" w:cs="仿宋_GB2312"/>
          <w:b/>
          <w:bCs/>
          <w:sz w:val="32"/>
          <w:szCs w:val="32"/>
          <w:lang w:val="en-US" w:eastAsia="zh-CN"/>
        </w:rPr>
      </w:pPr>
      <w:r>
        <w:drawing>
          <wp:inline distT="0" distB="0" distL="114300" distR="114300">
            <wp:extent cx="5271770" cy="2193290"/>
            <wp:effectExtent l="5080" t="4445" r="19050" b="1206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（图1：收支决算总计变动情况图）</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30" w:name="_Toc15377206"/>
      <w:bookmarkStart w:id="31" w:name="_Toc15396604"/>
      <w:r>
        <w:rPr>
          <w:rFonts w:hint="eastAsia" w:ascii="黑体" w:hAnsi="黑体" w:eastAsia="黑体" w:cs="黑体"/>
          <w:b/>
          <w:bCs/>
          <w:color w:val="000000"/>
          <w:kern w:val="2"/>
          <w:sz w:val="32"/>
          <w:szCs w:val="32"/>
          <w:lang w:val="en-US" w:eastAsia="zh-CN" w:bidi="ar-SA"/>
        </w:rPr>
        <w:t>二、收入决算情况说明</w:t>
      </w:r>
      <w:bookmarkEnd w:id="30"/>
      <w:bookmarkEnd w:id="31"/>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b/>
          <w:bCs/>
          <w:lang w:val="en-US" w:eastAsia="zh-CN"/>
        </w:rPr>
      </w:pPr>
      <w:r>
        <w:rPr>
          <w:rFonts w:hint="eastAsia" w:ascii="仿宋_GB2312" w:hAnsi="仿宋_GB2312" w:eastAsia="仿宋_GB2312" w:cs="仿宋_GB2312"/>
          <w:b/>
          <w:bCs/>
          <w:sz w:val="32"/>
          <w:szCs w:val="32"/>
          <w:lang w:val="en-US" w:eastAsia="zh-CN"/>
        </w:rPr>
        <w:t>2020年本年收入合计120.99万元，其中：一般公共预算财政拨款收入120.99万元，占100%。</w:t>
      </w:r>
    </w:p>
    <w:p>
      <w:pPr>
        <w:pStyle w:val="2"/>
        <w:jc w:val="center"/>
        <w:rPr>
          <w:rFonts w:hint="default"/>
          <w:b/>
          <w:bCs/>
          <w:lang w:val="en-US" w:eastAsia="zh-CN"/>
        </w:rPr>
      </w:pPr>
      <w:r>
        <w:drawing>
          <wp:inline distT="0" distB="0" distL="114300" distR="114300">
            <wp:extent cx="4582160" cy="2118360"/>
            <wp:effectExtent l="4445" t="4445" r="23495" b="10795"/>
            <wp:docPr id="1" name="图表 3"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ageBreakBefore w:val="0"/>
        <w:kinsoku/>
        <w:wordWrap/>
        <w:overflowPunct/>
        <w:topLinePunct w:val="0"/>
        <w:bidi w:val="0"/>
        <w:spacing w:line="240" w:lineRule="auto"/>
        <w:ind w:left="640" w:leftChars="305" w:firstLine="0" w:firstLineChars="0"/>
        <w:jc w:val="both"/>
        <w:outlineLvl w:val="1"/>
        <w:rPr>
          <w:rFonts w:ascii="仿宋_GB2312" w:eastAsia="仿宋_GB2312"/>
          <w:b/>
          <w:bCs/>
          <w:color w:val="FF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（图2：收入决算结构图）</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32" w:name="_Toc15396605"/>
      <w:bookmarkStart w:id="33" w:name="_Toc15377207"/>
      <w:r>
        <w:rPr>
          <w:rFonts w:hint="eastAsia" w:ascii="黑体" w:hAnsi="黑体" w:eastAsia="黑体" w:cs="黑体"/>
          <w:b/>
          <w:bCs/>
          <w:color w:val="000000"/>
          <w:kern w:val="2"/>
          <w:sz w:val="32"/>
          <w:szCs w:val="32"/>
          <w:lang w:val="en-US" w:eastAsia="zh-CN" w:bidi="ar-SA"/>
        </w:rPr>
        <w:t>三、支出决算情况说明</w:t>
      </w:r>
      <w:bookmarkEnd w:id="32"/>
      <w:bookmarkEnd w:id="33"/>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b/>
          <w:bCs/>
        </w:rPr>
      </w:pPr>
      <w:r>
        <w:rPr>
          <w:rFonts w:hint="eastAsia" w:ascii="仿宋_GB2312" w:hAnsi="仿宋_GB2312" w:eastAsia="仿宋_GB2312" w:cs="仿宋_GB2312"/>
          <w:b/>
          <w:bCs/>
          <w:sz w:val="32"/>
          <w:szCs w:val="32"/>
          <w:lang w:val="en-US" w:eastAsia="zh-CN"/>
        </w:rPr>
        <w:t>2020年本年支出合计167.01万元，其中：基本支出136.52万元，占81.74%；项目支出30.49万元，占18.26%；</w:t>
      </w:r>
    </w:p>
    <w:p>
      <w:pPr>
        <w:pStyle w:val="2"/>
        <w:pageBreakBefore w:val="0"/>
        <w:kinsoku/>
        <w:wordWrap/>
        <w:overflowPunct/>
        <w:topLinePunct w:val="0"/>
        <w:bidi w:val="0"/>
        <w:spacing w:line="240" w:lineRule="auto"/>
        <w:jc w:val="center"/>
        <w:rPr>
          <w:rFonts w:hint="eastAsia" w:eastAsia="仿宋_GB2312"/>
          <w:b/>
          <w:bCs/>
          <w:lang w:eastAsia="zh-CN"/>
        </w:rPr>
      </w:pPr>
      <w:r>
        <w:drawing>
          <wp:inline distT="0" distB="0" distL="114300" distR="114300">
            <wp:extent cx="4572000" cy="2743200"/>
            <wp:effectExtent l="4445" t="4445" r="14605" b="52705"/>
            <wp:docPr id="5" name="图表 5"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ageBreakBefore w:val="0"/>
        <w:kinsoku/>
        <w:wordWrap/>
        <w:overflowPunct/>
        <w:topLinePunct w:val="0"/>
        <w:bidi w:val="0"/>
        <w:spacing w:line="576" w:lineRule="exact"/>
        <w:ind w:firstLine="642" w:firstLineChars="200"/>
        <w:rPr>
          <w:rFonts w:ascii="仿宋_GB2312" w:eastAsia="仿宋_GB2312"/>
          <w:b/>
          <w:bCs/>
          <w:color w:val="FF000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（图3：支出决算结构图）</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34" w:name="_Toc15377208"/>
      <w:bookmarkStart w:id="35" w:name="_Toc15396606"/>
      <w:r>
        <w:rPr>
          <w:rFonts w:hint="eastAsia" w:ascii="黑体" w:hAnsi="黑体" w:eastAsia="黑体" w:cs="黑体"/>
          <w:b/>
          <w:bCs/>
          <w:color w:val="000000"/>
          <w:kern w:val="2"/>
          <w:sz w:val="32"/>
          <w:szCs w:val="32"/>
          <w:lang w:val="en-US" w:eastAsia="zh-CN" w:bidi="ar-SA"/>
        </w:rPr>
        <w:t>四、财政拨款收入支出决算总体情况说明</w:t>
      </w:r>
      <w:bookmarkEnd w:id="34"/>
      <w:bookmarkEnd w:id="35"/>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2020年度收、支总计167.47万元。与2019年相比，收、支总计各减少43.56万元，下降20.64%，主要变动原因是人员调出相关经费减少。</w:t>
      </w:r>
    </w:p>
    <w:p>
      <w:pPr>
        <w:pStyle w:val="2"/>
        <w:ind w:left="640" w:hanging="600" w:hangingChars="200"/>
        <w:jc w:val="center"/>
        <w:rPr>
          <w:rFonts w:hint="eastAsia" w:ascii="仿宋" w:hAnsi="仿宋" w:eastAsia="仿宋"/>
          <w:b/>
          <w:bCs/>
          <w:color w:val="000000"/>
          <w:sz w:val="32"/>
          <w:szCs w:val="32"/>
          <w:lang w:eastAsia="zh-CN"/>
        </w:rPr>
      </w:pPr>
      <w:r>
        <w:drawing>
          <wp:inline distT="0" distB="0" distL="114300" distR="114300">
            <wp:extent cx="5271770" cy="2193290"/>
            <wp:effectExtent l="5080" t="4445" r="19050" b="12065"/>
            <wp:docPr id="6"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ind w:firstLine="642" w:firstLineChars="200"/>
        <w:jc w:val="both"/>
        <w:rPr>
          <w:rFonts w:ascii="仿宋" w:hAnsi="仿宋" w:eastAsia="仿宋"/>
          <w:b/>
          <w:bCs/>
          <w:color w:val="00B050"/>
          <w:sz w:val="32"/>
          <w:szCs w:val="32"/>
        </w:rPr>
      </w:pPr>
      <w:r>
        <w:rPr>
          <w:rFonts w:hint="eastAsia" w:ascii="仿宋_GB2312" w:hAnsi="仿宋_GB2312" w:eastAsia="仿宋_GB2312" w:cs="仿宋_GB2312"/>
          <w:b/>
          <w:bCs/>
          <w:color w:val="000000" w:themeColor="text1"/>
          <w:sz w:val="32"/>
          <w:szCs w:val="32"/>
          <w14:textFill>
            <w14:solidFill>
              <w14:schemeClr w14:val="tx1"/>
            </w14:solidFill>
          </w14:textFill>
        </w:rPr>
        <w:t>（图4：财政拨款收、支决算总计变动情况）</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36" w:name="_Toc15396607"/>
      <w:bookmarkStart w:id="37" w:name="_Toc15377209"/>
      <w:r>
        <w:rPr>
          <w:rFonts w:hint="eastAsia" w:ascii="黑体" w:hAnsi="黑体" w:eastAsia="黑体" w:cs="黑体"/>
          <w:b/>
          <w:bCs/>
          <w:color w:val="000000"/>
          <w:kern w:val="2"/>
          <w:sz w:val="32"/>
          <w:szCs w:val="32"/>
          <w:lang w:val="en-US" w:eastAsia="zh-CN" w:bidi="ar-SA"/>
        </w:rPr>
        <w:t>五、一般公共预算财政拨款支出决算情况说明</w:t>
      </w:r>
      <w:bookmarkEnd w:id="36"/>
      <w:bookmarkEnd w:id="37"/>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38" w:name="_Toc15377210"/>
      <w:r>
        <w:rPr>
          <w:rFonts w:hint="eastAsia" w:ascii="楷体_GB2312" w:hAnsi="楷体_GB2312" w:eastAsia="楷体_GB2312" w:cs="楷体_GB2312"/>
          <w:b/>
          <w:bCs/>
          <w:kern w:val="2"/>
          <w:sz w:val="32"/>
          <w:szCs w:val="32"/>
          <w:lang w:val="en-US" w:eastAsia="zh-CN" w:bidi="ar-SA"/>
        </w:rPr>
        <w:t>（一）一般公共预算财政拨款支出决算总体情况</w:t>
      </w:r>
      <w:bookmarkEnd w:id="38"/>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2020年一般公共预算财政拨款支出167.01万元，占本年支出合计的99.73%。与2019年相比，一般公共预算财政拨增加4.56万元，上升2.80%。主要变动原因：2019年目标绩效结转到2020年支付。</w:t>
      </w:r>
    </w:p>
    <w:p>
      <w:pPr>
        <w:pageBreakBefore w:val="0"/>
        <w:kinsoku/>
        <w:wordWrap/>
        <w:overflowPunct/>
        <w:topLinePunct w:val="0"/>
        <w:bidi w:val="0"/>
        <w:spacing w:line="240" w:lineRule="auto"/>
        <w:jc w:val="both"/>
        <w:rPr>
          <w:rFonts w:hint="eastAsia" w:ascii="仿宋" w:hAnsi="仿宋" w:eastAsia="仿宋"/>
          <w:b/>
          <w:bCs/>
          <w:color w:val="000000"/>
          <w:sz w:val="32"/>
          <w:szCs w:val="32"/>
          <w:lang w:eastAsia="zh-CN"/>
        </w:rPr>
      </w:pPr>
      <w:r>
        <w:drawing>
          <wp:inline distT="0" distB="0" distL="114300" distR="114300">
            <wp:extent cx="5271770" cy="2193290"/>
            <wp:effectExtent l="5080" t="4445" r="19050" b="12065"/>
            <wp:docPr id="7"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（图5：一般公共预算财政拨款支出决算变动情况）</w:t>
      </w:r>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39" w:name="_Toc15377211"/>
      <w:r>
        <w:rPr>
          <w:rFonts w:hint="eastAsia" w:ascii="楷体_GB2312" w:hAnsi="楷体_GB2312" w:eastAsia="楷体_GB2312" w:cs="楷体_GB2312"/>
          <w:b/>
          <w:bCs/>
          <w:kern w:val="2"/>
          <w:sz w:val="32"/>
          <w:szCs w:val="32"/>
          <w:lang w:val="en-US" w:eastAsia="zh-CN" w:bidi="ar-SA"/>
        </w:rPr>
        <w:t>（二）一般公共预算财政拨款支出决算结构情况</w:t>
      </w:r>
      <w:bookmarkEnd w:id="39"/>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2020年一般公共预算财政拨款支出167.01万元，主要用于以下方面</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一般公共服务（类）支出148.56万元，占88.90%；社会保障和就业（类）支出7.35万元，占4.40%；卫生健康支出3.13万元，占1.87%；住房保障支出7.79万元，占4.66%。</w:t>
      </w:r>
    </w:p>
    <w:p>
      <w:pPr>
        <w:pageBreakBefore w:val="0"/>
        <w:kinsoku/>
        <w:wordWrap/>
        <w:overflowPunct/>
        <w:topLinePunct w:val="0"/>
        <w:bidi w:val="0"/>
        <w:spacing w:line="240" w:lineRule="auto"/>
        <w:jc w:val="center"/>
        <w:rPr>
          <w:rFonts w:hint="eastAsia" w:ascii="仿宋" w:hAnsi="仿宋" w:eastAsia="仿宋"/>
          <w:b/>
          <w:bCs/>
          <w:color w:val="000000" w:themeColor="text1"/>
          <w:sz w:val="32"/>
          <w:szCs w:val="32"/>
          <w:lang w:eastAsia="zh-CN"/>
          <w14:textFill>
            <w14:solidFill>
              <w14:schemeClr w14:val="tx1"/>
            </w14:solidFill>
          </w14:textFill>
        </w:rPr>
      </w:pPr>
      <w:r>
        <w:drawing>
          <wp:inline distT="0" distB="0" distL="114300" distR="114300">
            <wp:extent cx="4572000" cy="2743200"/>
            <wp:effectExtent l="4445" t="4445" r="14605" b="52705"/>
            <wp:docPr id="10" name="图表 9" descr="7b0a202020202263686172745265734964223a2022323034373231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576" w:lineRule="exact"/>
        <w:ind w:firstLine="642" w:firstLineChars="200"/>
        <w:rPr>
          <w:rFonts w:ascii="仿宋" w:hAnsi="仿宋" w:eastAsia="仿宋"/>
          <w:b/>
          <w:bCs/>
          <w:color w:val="000000"/>
          <w:sz w:val="32"/>
          <w:szCs w:val="32"/>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（图6：一般公共预算财政拨款支出决算结构）</w:t>
      </w:r>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40" w:name="_Toc15377212"/>
      <w:r>
        <w:rPr>
          <w:rFonts w:hint="eastAsia" w:ascii="楷体_GB2312" w:hAnsi="楷体_GB2312" w:eastAsia="楷体_GB2312" w:cs="楷体_GB2312"/>
          <w:b/>
          <w:bCs/>
          <w:kern w:val="2"/>
          <w:sz w:val="32"/>
          <w:szCs w:val="32"/>
          <w:lang w:val="en-US" w:eastAsia="zh-CN" w:bidi="ar-SA"/>
        </w:rPr>
        <w:t>（三）一般公共预算财政拨款支出决算具体情况</w:t>
      </w:r>
      <w:bookmarkEnd w:id="40"/>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bookmarkStart w:id="41" w:name="_Toc15377213"/>
      <w:bookmarkStart w:id="42" w:name="_Toc15378460"/>
      <w:bookmarkStart w:id="43" w:name="_Toc15377444"/>
      <w:r>
        <w:rPr>
          <w:rFonts w:hint="eastAsia" w:ascii="仿宋_GB2312" w:hAnsi="仿宋_GB2312" w:eastAsia="仿宋_GB2312" w:cs="仿宋_GB2312"/>
          <w:b/>
          <w:bCs/>
          <w:sz w:val="32"/>
          <w:szCs w:val="32"/>
          <w:lang w:val="en-US" w:eastAsia="zh-CN"/>
        </w:rPr>
        <w:t>2020年一般公共预算支出决算数为167.01万元，完成预算88.96%。其中：</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1.一般公共服务（类）政府办公厅（室及相关机构事务）（款）*机关服务（项）: 支出决算为10.49万元，完成预算100%，决算数与预算数持平。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2.一般公共服务（类）政府办公厅（室及相关机构事务）（款）*专项服务（项）: 支出决算20.00万元，完成预算100%，决算数与预算数持平。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3.一般公共服务（类）政府办公厅（室及相关机构事务）（款）*事业运行（项）: 支出决算为118.07万元，完成预算164.10%，决算数大于预算数的主要原因是：2019年目标绩效奖结转到2020年支付。</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4、社会保障和就业（类）行政事业单位养老支出</w:t>
      </w:r>
      <w:r>
        <w:rPr>
          <w:rStyle w:val="15"/>
          <w:rFonts w:hint="eastAsia" w:ascii="仿宋" w:hAnsi="仿宋" w:eastAsia="仿宋"/>
          <w:bCs/>
          <w:color w:val="000000"/>
          <w:sz w:val="32"/>
          <w:szCs w:val="32"/>
        </w:rPr>
        <w:t>（款）</w:t>
      </w:r>
      <w:r>
        <w:rPr>
          <w:rStyle w:val="15"/>
          <w:rFonts w:hint="eastAsia" w:ascii="仿宋" w:hAnsi="仿宋" w:eastAsia="仿宋"/>
          <w:bCs/>
          <w:color w:val="000000"/>
          <w:sz w:val="32"/>
          <w:szCs w:val="32"/>
          <w:lang w:eastAsia="zh-CN"/>
        </w:rPr>
        <w:t>机关事业单位基本养老保险缴费支出</w:t>
      </w:r>
      <w:r>
        <w:rPr>
          <w:rStyle w:val="15"/>
          <w:rFonts w:hint="eastAsia" w:ascii="仿宋" w:hAnsi="仿宋" w:eastAsia="仿宋"/>
          <w:bCs/>
          <w:color w:val="000000"/>
          <w:sz w:val="32"/>
          <w:szCs w:val="32"/>
        </w:rPr>
        <w:t>（项）</w:t>
      </w:r>
      <w:r>
        <w:rPr>
          <w:rFonts w:hint="eastAsia" w:ascii="仿宋_GB2312" w:hAnsi="仿宋_GB2312" w:eastAsia="仿宋_GB2312" w:cs="仿宋_GB2312"/>
          <w:b/>
          <w:bCs/>
          <w:sz w:val="32"/>
          <w:szCs w:val="32"/>
          <w:lang w:val="en-US" w:eastAsia="zh-CN"/>
        </w:rPr>
        <w:t>: 支出决算为7.35万元，完成预算100%，决算数与预算数持平。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5、社会保障和就业（类）行政事业单位养老支出</w:t>
      </w:r>
      <w:r>
        <w:rPr>
          <w:rStyle w:val="15"/>
          <w:rFonts w:hint="eastAsia" w:ascii="仿宋" w:hAnsi="仿宋" w:eastAsia="仿宋"/>
          <w:bCs/>
          <w:color w:val="000000"/>
          <w:sz w:val="32"/>
          <w:szCs w:val="32"/>
        </w:rPr>
        <w:t>（款）</w:t>
      </w:r>
      <w:r>
        <w:rPr>
          <w:rFonts w:hint="eastAsia" w:ascii="仿宋_GB2312" w:hAnsi="仿宋_GB2312" w:eastAsia="仿宋_GB2312" w:cs="仿宋_GB2312"/>
          <w:b/>
          <w:bCs/>
          <w:sz w:val="32"/>
          <w:szCs w:val="32"/>
          <w:lang w:val="en-US" w:eastAsia="zh-CN"/>
        </w:rPr>
        <w:t>机关事业单位职业年金缴费支出（项）: 支出决算为0.68万元，完成预算100%，决算数与预算数持平。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6、卫生健康（类）行政事业单位医疗（款）事业单位医疗（项）</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eastAsia="仿宋_GB2312" w:cs="仿宋_GB2312"/>
          <w:b/>
          <w:bCs/>
          <w:sz w:val="32"/>
          <w:szCs w:val="32"/>
          <w:lang w:val="en-US" w:eastAsia="zh-CN"/>
        </w:rPr>
        <w:t>支出决算为3.31万元，完成预算100%，决算数与预算数持平。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ascii="仿宋" w:hAnsi="仿宋" w:eastAsia="仿宋"/>
          <w:b/>
          <w:bCs/>
          <w:color w:val="000000"/>
          <w:sz w:val="32"/>
          <w:szCs w:val="32"/>
        </w:rPr>
      </w:pPr>
      <w:r>
        <w:rPr>
          <w:rFonts w:hint="eastAsia" w:ascii="仿宋_GB2312" w:hAnsi="仿宋_GB2312" w:eastAsia="仿宋_GB2312" w:cs="仿宋_GB2312"/>
          <w:b/>
          <w:bCs/>
          <w:sz w:val="32"/>
          <w:szCs w:val="32"/>
          <w:highlight w:val="none"/>
          <w:lang w:val="en-US" w:eastAsia="zh-CN"/>
        </w:rPr>
        <w:t>7、</w:t>
      </w:r>
      <w:r>
        <w:rPr>
          <w:rFonts w:hint="eastAsia" w:ascii="仿宋_GB2312" w:hAnsi="仿宋_GB2312" w:eastAsia="仿宋_GB2312" w:cs="仿宋_GB2312"/>
          <w:b/>
          <w:bCs/>
          <w:sz w:val="32"/>
          <w:szCs w:val="32"/>
          <w:lang w:val="en-US" w:eastAsia="zh-CN"/>
        </w:rPr>
        <w:t>住房保障支出（类）住房改革支出（款）住房公积金（项）决算数为7.79万元，完成预算96.65%，决算数与预算数基本持平。</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auto"/>
          <w:kern w:val="2"/>
          <w:sz w:val="32"/>
          <w:szCs w:val="32"/>
          <w:lang w:val="en-US" w:eastAsia="zh-CN" w:bidi="ar-SA"/>
        </w:rPr>
      </w:pPr>
      <w:bookmarkStart w:id="44" w:name="_Toc15396608"/>
      <w:bookmarkStart w:id="45" w:name="_Toc15377214"/>
      <w:r>
        <w:rPr>
          <w:rFonts w:hint="eastAsia" w:ascii="黑体" w:hAnsi="黑体" w:eastAsia="黑体" w:cs="黑体"/>
          <w:b/>
          <w:bCs/>
          <w:color w:val="auto"/>
          <w:kern w:val="2"/>
          <w:sz w:val="32"/>
          <w:szCs w:val="32"/>
          <w:lang w:val="en-US" w:eastAsia="zh-CN" w:bidi="ar-SA"/>
        </w:rPr>
        <w:t>六、一般公共预算财政拨款基本支出决算情况说明</w:t>
      </w:r>
      <w:bookmarkEnd w:id="44"/>
      <w:bookmarkEnd w:id="45"/>
      <w:r>
        <w:rPr>
          <w:rFonts w:hint="eastAsia" w:ascii="黑体" w:hAnsi="黑体" w:eastAsia="黑体" w:cs="黑体"/>
          <w:b/>
          <w:bCs/>
          <w:color w:val="auto"/>
          <w:kern w:val="2"/>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auto"/>
          <w:sz w:val="32"/>
          <w:szCs w:val="32"/>
          <w:lang w:val="en-US" w:eastAsia="zh-CN"/>
        </w:rPr>
        <w:t>2020年一般公共预算财政拨款基本支出136.52万元，其中：</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人员经费119.64万元，主要包括：基本工资、津贴补贴、奖金、绩效工资、机关事业单位基本养老保险缴费、职业年金缴费、其他社会保障缴费、其他工资福利支出、住房公积金等。</w:t>
      </w:r>
      <w:r>
        <w:rPr>
          <w:rFonts w:hint="eastAsia" w:ascii="仿宋_GB2312" w:hAnsi="仿宋_GB2312" w:eastAsia="仿宋_GB2312" w:cs="仿宋_GB2312"/>
          <w:b/>
          <w:bCs/>
          <w:sz w:val="32"/>
          <w:szCs w:val="32"/>
          <w:lang w:val="en-US" w:eastAsia="zh-CN"/>
        </w:rPr>
        <w:br w:type="textWrapping"/>
      </w:r>
      <w:r>
        <w:rPr>
          <w:rFonts w:hint="eastAsia" w:ascii="仿宋_GB2312" w:hAnsi="仿宋_GB2312" w:eastAsia="仿宋_GB2312" w:cs="仿宋_GB2312"/>
          <w:b/>
          <w:bCs/>
          <w:sz w:val="32"/>
          <w:szCs w:val="32"/>
          <w:lang w:val="en-US" w:eastAsia="zh-CN"/>
        </w:rPr>
        <w:t>　　日常公用经费16.88万元，主要包括：办公费、印刷费、水费、电费、邮电费、物业管理费、差旅费、租赁费、会议费、培训费、公务接待费、工会经费、福利费、其他交通费、其他商品和服务支出等。</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46" w:name="_Toc15377215"/>
      <w:bookmarkStart w:id="47" w:name="_Toc15396609"/>
      <w:r>
        <w:rPr>
          <w:rFonts w:hint="eastAsia" w:ascii="黑体" w:hAnsi="黑体" w:eastAsia="黑体" w:cs="黑体"/>
          <w:b/>
          <w:bCs/>
          <w:color w:val="000000"/>
          <w:kern w:val="2"/>
          <w:sz w:val="32"/>
          <w:szCs w:val="32"/>
          <w:lang w:val="en-US" w:eastAsia="zh-CN" w:bidi="ar-SA"/>
        </w:rPr>
        <w:t>七、“三公”经费财政拨款支出决算情况说明</w:t>
      </w:r>
      <w:bookmarkEnd w:id="46"/>
      <w:bookmarkEnd w:id="47"/>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48" w:name="_Toc15377216"/>
      <w:r>
        <w:rPr>
          <w:rFonts w:hint="eastAsia" w:ascii="楷体_GB2312" w:hAnsi="楷体_GB2312" w:eastAsia="楷体_GB2312" w:cs="楷体_GB2312"/>
          <w:b/>
          <w:bCs/>
          <w:kern w:val="2"/>
          <w:sz w:val="32"/>
          <w:szCs w:val="32"/>
          <w:lang w:val="en-US" w:eastAsia="zh-CN" w:bidi="ar-SA"/>
        </w:rPr>
        <w:t>（一）“三公”经费财政拨款支出决算总体情况说明</w:t>
      </w:r>
      <w:bookmarkEnd w:id="48"/>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2020年“三公”经费预算0.78万元，财政拨款支出决算为0.71万元，完成预算91.03%，决算数小于预算数的主要原因是按照厉行节约、控制标准、限制陪同人数、压缩接待费支出。</w:t>
      </w:r>
    </w:p>
    <w:p>
      <w:pPr>
        <w:pageBreakBefore w:val="0"/>
        <w:kinsoku/>
        <w:wordWrap/>
        <w:overflowPunct/>
        <w:topLinePunct w:val="0"/>
        <w:bidi w:val="0"/>
        <w:spacing w:line="576" w:lineRule="exact"/>
        <w:ind w:firstLine="642" w:firstLineChars="200"/>
        <w:outlineLvl w:val="2"/>
        <w:rPr>
          <w:rFonts w:hint="eastAsia" w:ascii="楷体_GB2312" w:hAnsi="楷体_GB2312" w:eastAsia="楷体_GB2312" w:cs="楷体_GB2312"/>
          <w:b/>
          <w:bCs/>
          <w:kern w:val="2"/>
          <w:sz w:val="32"/>
          <w:szCs w:val="32"/>
          <w:lang w:val="en-US" w:eastAsia="zh-CN" w:bidi="ar-SA"/>
        </w:rPr>
      </w:pPr>
      <w:bookmarkStart w:id="49" w:name="_Toc15377217"/>
      <w:r>
        <w:rPr>
          <w:rFonts w:hint="eastAsia" w:ascii="楷体_GB2312" w:hAnsi="楷体_GB2312" w:eastAsia="楷体_GB2312" w:cs="楷体_GB2312"/>
          <w:b/>
          <w:bCs/>
          <w:kern w:val="2"/>
          <w:sz w:val="32"/>
          <w:szCs w:val="32"/>
          <w:lang w:val="en-US" w:eastAsia="zh-CN" w:bidi="ar-SA"/>
        </w:rPr>
        <w:t>（二）“三公”经费财政拨款支出决算具体情况说明</w:t>
      </w:r>
      <w:bookmarkEnd w:id="49"/>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2020年“三公”经费财政拨款支出决算中，因公出国（境）费支出决算0万元；公务用车购置及运行维护费支出决算0万元；公务接待费支出决算0.71万元，占91.03%。具体情况如下：</w:t>
      </w:r>
    </w:p>
    <w:p>
      <w:pPr>
        <w:pStyle w:val="2"/>
        <w:jc w:val="center"/>
        <w:rPr>
          <w:rFonts w:hint="eastAsia"/>
          <w:lang w:val="en-US" w:eastAsia="zh-CN"/>
        </w:rPr>
      </w:pPr>
      <w:r>
        <w:rPr>
          <w:rFonts w:hint="eastAsia"/>
          <w:lang w:val="en-US" w:eastAsia="zh-CN"/>
        </w:rPr>
        <w:drawing>
          <wp:inline distT="0" distB="0" distL="114300" distR="114300">
            <wp:extent cx="3778885" cy="2336800"/>
            <wp:effectExtent l="0" t="0" r="12065" b="0"/>
            <wp:docPr id="2" name="图片 2"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true"/>
                    </pic:cNvPicPr>
                  </pic:nvPicPr>
                  <pic:blipFill>
                    <a:blip r:embed="rId12"/>
                    <a:stretch>
                      <a:fillRect/>
                    </a:stretch>
                  </pic:blipFill>
                  <pic:spPr>
                    <a:xfrm>
                      <a:off x="0" y="0"/>
                      <a:ext cx="3778885" cy="2336800"/>
                    </a:xfrm>
                    <a:prstGeom prst="rect">
                      <a:avLst/>
                    </a:prstGeom>
                  </pic:spPr>
                </pic:pic>
              </a:graphicData>
            </a:graphic>
          </wp:inline>
        </w:drawing>
      </w:r>
    </w:p>
    <w:p>
      <w:pPr>
        <w:pageBreakBefore w:val="0"/>
        <w:kinsoku/>
        <w:wordWrap/>
        <w:overflowPunct/>
        <w:topLinePunct w:val="0"/>
        <w:bidi w:val="0"/>
        <w:spacing w:line="576" w:lineRule="exact"/>
        <w:ind w:firstLine="642" w:firstLineChars="200"/>
        <w:rPr>
          <w:rFonts w:hint="eastAsia"/>
          <w:lang w:val="en-US" w:eastAsia="zh-CN"/>
        </w:rPr>
      </w:pP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（图6：</w:t>
      </w:r>
      <w:r>
        <w:rPr>
          <w:rFonts w:hint="eastAsia" w:ascii="楷体_GB2312" w:hAnsi="楷体_GB2312" w:eastAsia="楷体_GB2312" w:cs="楷体_GB2312"/>
          <w:b/>
          <w:bCs/>
          <w:kern w:val="2"/>
          <w:sz w:val="32"/>
          <w:szCs w:val="32"/>
          <w:lang w:val="en-US" w:eastAsia="zh-CN" w:bidi="ar-SA"/>
        </w:rPr>
        <w:t>“三公”经费财政拨款支出</w:t>
      </w:r>
      <w:r>
        <w:rPr>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结构）</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1.因公出国（境）经费支出0万元，年初未安排预算，与上年持平。</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b/>
          <w:color w:val="000000"/>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eastAsia="仿宋_GB2312"/>
          <w:b/>
          <w:color w:val="000000"/>
          <w:sz w:val="32"/>
          <w:szCs w:val="32"/>
        </w:rPr>
        <w:t>公务用车购置及运行维护费支出</w:t>
      </w:r>
      <w:r>
        <w:rPr>
          <w:rFonts w:hint="eastAsia" w:ascii="仿宋_GB2312" w:eastAsia="仿宋_GB2312"/>
          <w:b/>
          <w:color w:val="000000"/>
          <w:sz w:val="32"/>
          <w:szCs w:val="32"/>
          <w:lang w:eastAsia="zh-CN"/>
        </w:rPr>
        <w:t>：</w:t>
      </w:r>
      <w:r>
        <w:rPr>
          <w:rFonts w:hint="eastAsia" w:hAnsi="仿宋_GB2312" w:cs="仿宋_GB2312"/>
          <w:b/>
          <w:bCs/>
          <w:sz w:val="32"/>
          <w:szCs w:val="32"/>
          <w:lang w:val="en-US" w:eastAsia="zh-CN"/>
        </w:rPr>
        <w:t>公务用车购置</w:t>
      </w:r>
      <w:r>
        <w:rPr>
          <w:rFonts w:hint="eastAsia" w:ascii="仿宋_GB2312" w:eastAsia="仿宋_GB2312"/>
          <w:b/>
          <w:bCs w:val="0"/>
          <w:color w:val="000000"/>
          <w:sz w:val="32"/>
          <w:szCs w:val="32"/>
          <w:lang w:val="en-US" w:eastAsia="zh-CN"/>
        </w:rPr>
        <w:t>0</w:t>
      </w:r>
      <w:r>
        <w:rPr>
          <w:rFonts w:hint="eastAsia" w:hAnsi="仿宋_GB2312" w:cs="仿宋_GB2312"/>
          <w:b/>
          <w:bCs/>
          <w:sz w:val="32"/>
          <w:szCs w:val="32"/>
          <w:lang w:val="en-US" w:eastAsia="zh-CN"/>
        </w:rPr>
        <w:t>万元，</w:t>
      </w:r>
      <w:r>
        <w:rPr>
          <w:rFonts w:hint="eastAsia" w:ascii="仿宋_GB2312" w:eastAsia="仿宋_GB2312"/>
          <w:b/>
          <w:color w:val="000000"/>
          <w:sz w:val="32"/>
          <w:szCs w:val="32"/>
        </w:rPr>
        <w:t>截至2020年12月底，单位共有公务用车</w:t>
      </w:r>
      <w:r>
        <w:rPr>
          <w:rFonts w:hint="eastAsia" w:ascii="仿宋_GB2312" w:eastAsia="仿宋_GB2312"/>
          <w:b/>
          <w:color w:val="000000"/>
          <w:sz w:val="32"/>
          <w:szCs w:val="32"/>
          <w:lang w:val="en-US" w:eastAsia="zh-CN"/>
        </w:rPr>
        <w:t>0</w:t>
      </w:r>
      <w:bookmarkStart w:id="77" w:name="_GoBack"/>
      <w:bookmarkEnd w:id="77"/>
      <w:r>
        <w:rPr>
          <w:rFonts w:hint="eastAsia" w:ascii="仿宋_GB2312" w:eastAsia="仿宋_GB2312"/>
          <w:b/>
          <w:color w:val="000000"/>
          <w:sz w:val="32"/>
          <w:szCs w:val="32"/>
        </w:rPr>
        <w:t>辆</w:t>
      </w:r>
      <w:r>
        <w:rPr>
          <w:rFonts w:hint="eastAsia" w:ascii="仿宋_GB2312" w:eastAsia="仿宋_GB2312"/>
          <w:b/>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eastAsia="仿宋_GB2312"/>
          <w:lang w:val="en-US" w:eastAsia="zh-CN"/>
        </w:rPr>
      </w:pPr>
      <w:r>
        <w:rPr>
          <w:rFonts w:hint="eastAsia" w:ascii="仿宋_GB2312" w:eastAsia="仿宋_GB2312"/>
          <w:b/>
          <w:color w:val="000000"/>
          <w:sz w:val="32"/>
          <w:szCs w:val="32"/>
        </w:rPr>
        <w:t>公务用车运行维护费支出</w:t>
      </w:r>
      <w:r>
        <w:rPr>
          <w:rFonts w:hint="eastAsia" w:ascii="仿宋_GB2312" w:eastAsia="仿宋_GB2312"/>
          <w:b/>
          <w:bCs w:val="0"/>
          <w:color w:val="000000"/>
          <w:sz w:val="32"/>
          <w:szCs w:val="32"/>
          <w:lang w:val="en-US" w:eastAsia="zh-CN"/>
        </w:rPr>
        <w:t>0</w:t>
      </w:r>
      <w:r>
        <w:rPr>
          <w:rFonts w:hint="eastAsia" w:ascii="仿宋_GB2312" w:eastAsia="仿宋_GB2312"/>
          <w:b/>
          <w:color w:val="000000"/>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3.公务接待费支出0.71万元，完成预算91.03%。公务接待费支出决算比2019年减少0.82万元，下降53.59%。主要原因是：因疫情原因上级来广公务活动减少，按照厉行节约和过紧日子要求，压减计费和陪同人员。</w:t>
      </w:r>
    </w:p>
    <w:p>
      <w:pPr>
        <w:spacing w:line="600" w:lineRule="exact"/>
        <w:ind w:firstLine="640"/>
        <w:rPr>
          <w:rFonts w:hint="default"/>
          <w:lang w:val="en-US" w:eastAsia="zh-CN"/>
        </w:rPr>
      </w:pPr>
      <w:r>
        <w:rPr>
          <w:rFonts w:hint="eastAsia" w:ascii="仿宋_GB2312" w:hAnsi="仿宋_GB2312" w:eastAsia="仿宋_GB2312" w:cs="仿宋_GB2312"/>
          <w:b/>
          <w:bCs/>
          <w:sz w:val="32"/>
          <w:szCs w:val="32"/>
          <w:lang w:val="en-US" w:eastAsia="zh-CN"/>
        </w:rPr>
        <w:t>开支内容包括：主要用于执行公务、开展业务活动开支的交通费、住宿费、用餐费等。国内公务接待3批12人次（不包括陪同人员），共计支出0.71万元，具体内容包括：巴中、遂宁等市来广协调非法集资信访事项，全国两会期间绵阳市驻广维稳等接待。</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50" w:name="_Toc15396610"/>
      <w:bookmarkStart w:id="51" w:name="_Toc15377218"/>
      <w:r>
        <w:rPr>
          <w:rFonts w:hint="eastAsia" w:ascii="黑体" w:hAnsi="黑体" w:eastAsia="黑体" w:cs="黑体"/>
          <w:b/>
          <w:bCs/>
          <w:color w:val="000000"/>
          <w:kern w:val="2"/>
          <w:sz w:val="32"/>
          <w:szCs w:val="32"/>
          <w:lang w:val="en-US" w:eastAsia="zh-CN" w:bidi="ar-SA"/>
        </w:rPr>
        <w:t>八、政府性基金预算支出决算情况说明</w:t>
      </w:r>
      <w:bookmarkEnd w:id="50"/>
      <w:bookmarkEnd w:id="51"/>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default" w:ascii="仿宋_GB2312" w:hAnsi="Times New Roman" w:eastAsia="仿宋_GB2312" w:cs="Times New Roman"/>
          <w:b/>
          <w:bCs/>
          <w:color w:val="000000"/>
          <w:sz w:val="32"/>
          <w:szCs w:val="32"/>
          <w:lang w:val="en-US" w:eastAsia="zh-CN"/>
        </w:rPr>
      </w:pPr>
      <w:r>
        <w:rPr>
          <w:rFonts w:hint="eastAsia" w:ascii="仿宋_GB2312" w:hAnsi="Times New Roman" w:eastAsia="仿宋_GB2312" w:cs="Times New Roman"/>
          <w:b/>
          <w:bCs/>
          <w:color w:val="000000"/>
          <w:sz w:val="32"/>
          <w:szCs w:val="32"/>
          <w:lang w:val="en-US" w:eastAsia="zh-CN"/>
        </w:rPr>
        <w:t>20</w:t>
      </w:r>
      <w:r>
        <w:rPr>
          <w:rFonts w:hint="eastAsia" w:ascii="仿宋_GB2312" w:eastAsia="仿宋_GB2312" w:cs="Times New Roman"/>
          <w:b/>
          <w:bCs/>
          <w:color w:val="000000"/>
          <w:sz w:val="32"/>
          <w:szCs w:val="32"/>
          <w:lang w:val="en-US" w:eastAsia="zh-CN"/>
        </w:rPr>
        <w:t>20</w:t>
      </w:r>
      <w:r>
        <w:rPr>
          <w:rFonts w:hint="eastAsia" w:ascii="仿宋_GB2312" w:hAnsi="Times New Roman" w:eastAsia="仿宋_GB2312" w:cs="Times New Roman"/>
          <w:b/>
          <w:bCs/>
          <w:color w:val="000000"/>
          <w:sz w:val="32"/>
          <w:szCs w:val="32"/>
          <w:lang w:val="en-US" w:eastAsia="zh-CN"/>
        </w:rPr>
        <w:t>年政府性基金预算拨款支出0万元。</w:t>
      </w:r>
      <w:r>
        <w:rPr>
          <w:rFonts w:hint="eastAsia" w:ascii="仿宋_GB2312" w:eastAsia="仿宋_GB2312" w:cs="Times New Roman"/>
          <w:b/>
          <w:bCs/>
          <w:color w:val="000000"/>
          <w:sz w:val="32"/>
          <w:szCs w:val="32"/>
          <w:lang w:val="en-US" w:eastAsia="zh-CN"/>
        </w:rPr>
        <w:t>2020年本单位未在政府性基金预算拨款中安排“三公经费”支出。</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52" w:name="_Toc15377219"/>
      <w:bookmarkStart w:id="53" w:name="_Toc15396611"/>
      <w:r>
        <w:rPr>
          <w:rFonts w:hint="eastAsia" w:ascii="黑体" w:hAnsi="黑体" w:eastAsia="黑体" w:cs="黑体"/>
          <w:b/>
          <w:bCs/>
          <w:color w:val="000000"/>
          <w:kern w:val="2"/>
          <w:sz w:val="32"/>
          <w:szCs w:val="32"/>
          <w:lang w:val="en-US" w:eastAsia="zh-CN" w:bidi="ar-SA"/>
        </w:rPr>
        <w:t>九、国有资本经营预算支出决算情况说明</w:t>
      </w:r>
      <w:bookmarkEnd w:id="52"/>
      <w:bookmarkEnd w:id="53"/>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hAnsi="Times New Roman" w:eastAsia="仿宋_GB2312" w:cs="Times New Roman"/>
          <w:b/>
          <w:bCs/>
          <w:color w:val="000000"/>
          <w:sz w:val="32"/>
          <w:szCs w:val="32"/>
        </w:rPr>
      </w:pPr>
      <w:r>
        <w:rPr>
          <w:rFonts w:hint="eastAsia" w:ascii="仿宋_GB2312" w:hAnsi="Times New Roman" w:eastAsia="仿宋_GB2312" w:cs="Times New Roman"/>
          <w:b/>
          <w:bCs/>
          <w:color w:val="000000"/>
          <w:sz w:val="32"/>
          <w:szCs w:val="32"/>
          <w:lang w:val="en-US" w:eastAsia="zh-CN"/>
        </w:rPr>
        <w:t>20</w:t>
      </w:r>
      <w:r>
        <w:rPr>
          <w:rFonts w:hint="eastAsia" w:ascii="仿宋_GB2312" w:eastAsia="仿宋_GB2312" w:cs="Times New Roman"/>
          <w:b/>
          <w:bCs/>
          <w:color w:val="000000"/>
          <w:sz w:val="32"/>
          <w:szCs w:val="32"/>
          <w:lang w:val="en-US" w:eastAsia="zh-CN"/>
        </w:rPr>
        <w:t>20</w:t>
      </w:r>
      <w:r>
        <w:rPr>
          <w:rFonts w:hint="eastAsia" w:ascii="仿宋_GB2312" w:hAnsi="Times New Roman" w:eastAsia="仿宋_GB2312" w:cs="Times New Roman"/>
          <w:b/>
          <w:bCs/>
          <w:color w:val="000000"/>
          <w:sz w:val="32"/>
          <w:szCs w:val="32"/>
          <w:lang w:val="en-US" w:eastAsia="zh-CN"/>
        </w:rPr>
        <w:t>年国有资本经营预算拨款支出0万元。</w:t>
      </w:r>
    </w:p>
    <w:p>
      <w:pPr>
        <w:pageBreakBefore w:val="0"/>
        <w:kinsoku/>
        <w:wordWrap/>
        <w:overflowPunct/>
        <w:topLinePunct w:val="0"/>
        <w:bidi w:val="0"/>
        <w:spacing w:line="576" w:lineRule="exact"/>
        <w:ind w:firstLine="642" w:firstLineChars="200"/>
        <w:outlineLvl w:val="1"/>
        <w:rPr>
          <w:rFonts w:hint="eastAsia" w:ascii="黑体" w:hAnsi="黑体" w:eastAsia="黑体" w:cs="黑体"/>
          <w:b/>
          <w:bCs/>
          <w:color w:val="000000"/>
          <w:kern w:val="2"/>
          <w:sz w:val="32"/>
          <w:szCs w:val="32"/>
          <w:lang w:val="en-US" w:eastAsia="zh-CN" w:bidi="ar-SA"/>
        </w:rPr>
      </w:pPr>
      <w:bookmarkStart w:id="54" w:name="_Toc15396612"/>
      <w:bookmarkStart w:id="55" w:name="_Toc15377221"/>
      <w:r>
        <w:rPr>
          <w:rFonts w:hint="eastAsia" w:ascii="黑体" w:hAnsi="黑体" w:eastAsia="黑体" w:cs="黑体"/>
          <w:b/>
          <w:bCs/>
          <w:color w:val="000000"/>
          <w:kern w:val="2"/>
          <w:sz w:val="32"/>
          <w:szCs w:val="32"/>
          <w:lang w:val="en-US" w:eastAsia="zh-CN" w:bidi="ar-SA"/>
        </w:rPr>
        <w:t>十、其他重要事项的情况说明</w:t>
      </w:r>
      <w:bookmarkEnd w:id="54"/>
      <w:bookmarkEnd w:id="55"/>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_GB2312" w:hAnsi="楷体_GB2312" w:eastAsia="楷体_GB2312" w:cs="楷体_GB2312"/>
          <w:b/>
          <w:bCs/>
          <w:color w:val="000000"/>
          <w:sz w:val="32"/>
          <w:szCs w:val="32"/>
        </w:rPr>
      </w:pPr>
      <w:bookmarkStart w:id="56" w:name="_Toc15377222"/>
      <w:r>
        <w:rPr>
          <w:rFonts w:hint="eastAsia" w:ascii="楷体_GB2312" w:hAnsi="楷体_GB2312" w:eastAsia="楷体_GB2312" w:cs="楷体_GB2312"/>
          <w:b/>
          <w:bCs/>
          <w:color w:val="000000"/>
          <w:sz w:val="32"/>
          <w:szCs w:val="32"/>
        </w:rPr>
        <w:t>（一）机关运行经费支出情况</w:t>
      </w:r>
      <w:bookmarkEnd w:id="56"/>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 w:hAnsi="仿宋" w:eastAsia="仿宋_GB2312"/>
          <w:b/>
          <w:bCs/>
          <w:color w:val="auto"/>
          <w:sz w:val="32"/>
          <w:szCs w:val="32"/>
          <w:lang w:eastAsia="zh-CN"/>
        </w:rPr>
      </w:pPr>
      <w:r>
        <w:rPr>
          <w:rFonts w:hint="eastAsia" w:ascii="仿宋" w:hAnsi="仿宋" w:eastAsia="仿宋_GB2312"/>
          <w:b/>
          <w:bCs/>
          <w:color w:val="auto"/>
          <w:sz w:val="32"/>
          <w:szCs w:val="32"/>
          <w:lang w:eastAsia="zh-CN"/>
        </w:rPr>
        <w:t>本单位未发生机关运行经费支出。</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_GB2312" w:hAnsi="楷体_GB2312" w:eastAsia="楷体_GB2312" w:cs="楷体_GB2312"/>
          <w:b/>
          <w:bCs/>
          <w:color w:val="000000"/>
          <w:sz w:val="32"/>
          <w:szCs w:val="32"/>
        </w:rPr>
      </w:pPr>
      <w:bookmarkStart w:id="57" w:name="_Toc15377223"/>
      <w:r>
        <w:rPr>
          <w:rFonts w:hint="eastAsia" w:ascii="楷体_GB2312" w:hAnsi="楷体_GB2312" w:eastAsia="楷体_GB2312" w:cs="楷体_GB2312"/>
          <w:b/>
          <w:bCs/>
          <w:color w:val="000000"/>
          <w:sz w:val="32"/>
          <w:szCs w:val="32"/>
        </w:rPr>
        <w:t>（二）政府采购支出情况</w:t>
      </w:r>
      <w:bookmarkEnd w:id="57"/>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b/>
          <w:bCs/>
          <w:color w:val="000000"/>
          <w:sz w:val="32"/>
          <w:szCs w:val="32"/>
          <w:lang w:eastAsia="zh-CN"/>
        </w:rPr>
      </w:pPr>
      <w:bookmarkStart w:id="58" w:name="_Toc15377224"/>
      <w:r>
        <w:rPr>
          <w:rFonts w:hint="eastAsia" w:ascii="仿宋_GB2312" w:eastAsia="仿宋_GB2312"/>
          <w:b/>
          <w:bCs/>
          <w:color w:val="000000"/>
          <w:sz w:val="32"/>
          <w:szCs w:val="32"/>
          <w:lang w:eastAsia="zh-CN"/>
        </w:rPr>
        <w:t>20</w:t>
      </w:r>
      <w:r>
        <w:rPr>
          <w:rFonts w:hint="eastAsia" w:ascii="仿宋_GB2312" w:eastAsia="仿宋_GB2312"/>
          <w:b/>
          <w:bCs/>
          <w:color w:val="000000"/>
          <w:sz w:val="32"/>
          <w:szCs w:val="32"/>
          <w:lang w:val="en-US" w:eastAsia="zh-CN"/>
        </w:rPr>
        <w:t>20</w:t>
      </w:r>
      <w:r>
        <w:rPr>
          <w:rFonts w:hint="eastAsia" w:ascii="仿宋_GB2312" w:eastAsia="仿宋_GB2312"/>
          <w:b/>
          <w:bCs/>
          <w:color w:val="000000"/>
          <w:sz w:val="32"/>
          <w:szCs w:val="32"/>
          <w:lang w:eastAsia="zh-CN"/>
        </w:rPr>
        <w:t>年，市群众工作中心采购支出总额</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万元，其中：政府采购货物支出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万元、政府采购工程支出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万元、政府采购服务支出</w:t>
      </w:r>
      <w:r>
        <w:rPr>
          <w:rFonts w:hint="eastAsia" w:ascii="仿宋_GB2312" w:eastAsia="仿宋_GB2312"/>
          <w:b/>
          <w:bCs/>
          <w:color w:val="000000"/>
          <w:sz w:val="32"/>
          <w:szCs w:val="32"/>
          <w:lang w:val="en-US" w:eastAsia="zh-CN"/>
        </w:rPr>
        <w:t>0</w:t>
      </w:r>
      <w:r>
        <w:rPr>
          <w:rFonts w:hint="eastAsia" w:ascii="仿宋_GB2312" w:eastAsia="仿宋_GB2312"/>
          <w:b/>
          <w:bCs/>
          <w:color w:val="000000"/>
          <w:sz w:val="32"/>
          <w:szCs w:val="32"/>
          <w:lang w:eastAsia="zh-CN"/>
        </w:rPr>
        <w:t>万元。</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（三）国有资产占有使用情况</w:t>
      </w:r>
      <w:bookmarkEnd w:id="58"/>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截至2020年12月31日，市群众工作中心共有车辆0辆，其中：主要领导干部用车0辆、机要通信用车0辆、应急保障用车0辆、其他用车0辆，单价100万元以上专用设备0台（套）。</w:t>
      </w:r>
    </w:p>
    <w:p>
      <w:pPr>
        <w:pageBreakBefore w:val="0"/>
        <w:kinsoku/>
        <w:wordWrap/>
        <w:overflowPunct/>
        <w:topLinePunct w:val="0"/>
        <w:autoSpaceDE w:val="0"/>
        <w:autoSpaceDN w:val="0"/>
        <w:bidi w:val="0"/>
        <w:adjustRightInd w:val="0"/>
        <w:spacing w:line="576" w:lineRule="exact"/>
        <w:ind w:firstLine="642" w:firstLineChars="200"/>
        <w:jc w:val="left"/>
        <w:outlineLvl w:val="2"/>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（四）预算绩效管理情况</w:t>
      </w: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根据预算绩效管理要求，本部门（单位）在年初预算编制阶段，组织对</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个项目编制了绩效目标，预算执行过程中，选取</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个项目开展绩效监控，年终执行完毕后，对</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个项目开展了绩效目标完成情况自评。</w:t>
      </w:r>
    </w:p>
    <w:p>
      <w:pPr>
        <w:pageBreakBefore w:val="0"/>
        <w:numPr>
          <w:ilvl w:val="0"/>
          <w:numId w:val="1"/>
        </w:numPr>
        <w:kinsoku/>
        <w:wordWrap/>
        <w:overflowPunct/>
        <w:topLinePunct w:val="0"/>
        <w:bidi w:val="0"/>
        <w:spacing w:line="576" w:lineRule="exact"/>
        <w:ind w:firstLine="642" w:firstLineChars="200"/>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b/>
          <w:bCs/>
          <w:sz w:val="32"/>
          <w:szCs w:val="32"/>
        </w:rPr>
        <w:t xml:space="preserve">    本部门在20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年度部门决算中反映“</w:t>
      </w:r>
      <w:r>
        <w:rPr>
          <w:rFonts w:hint="eastAsia" w:ascii="仿宋_GB2312" w:hAnsi="仿宋_GB2312" w:eastAsia="仿宋_GB2312" w:cs="仿宋_GB2312"/>
          <w:b/>
          <w:bCs/>
          <w:sz w:val="32"/>
          <w:szCs w:val="32"/>
          <w:lang w:eastAsia="zh-CN"/>
        </w:rPr>
        <w:t>资助救助资金</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、“资助救助资金”、“聘用人员工资”</w:t>
      </w:r>
      <w:r>
        <w:rPr>
          <w:rFonts w:hint="eastAsia" w:ascii="仿宋_GB2312" w:hAnsi="仿宋_GB2312" w:eastAsia="仿宋_GB2312" w:cs="仿宋_GB2312"/>
          <w:b/>
          <w:bCs/>
          <w:sz w:val="32"/>
          <w:szCs w:val="32"/>
        </w:rPr>
        <w:t>等</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个项目绩效目标实际完成情况。</w:t>
      </w:r>
    </w:p>
    <w:p>
      <w:pPr>
        <w:pageBreakBefore w:val="0"/>
        <w:numPr>
          <w:ilvl w:val="0"/>
          <w:numId w:val="0"/>
        </w:numPr>
        <w:kinsoku/>
        <w:wordWrap/>
        <w:overflowPunct/>
        <w:topLinePunct w:val="0"/>
        <w:bidi w:val="0"/>
        <w:spacing w:line="576" w:lineRule="exact"/>
        <w:ind w:firstLine="642"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资助救助资金</w:t>
      </w:r>
      <w:r>
        <w:rPr>
          <w:rFonts w:hint="eastAsia" w:ascii="仿宋_GB2312" w:hAnsi="仿宋_GB2312" w:eastAsia="仿宋_GB2312" w:cs="仿宋_GB2312"/>
          <w:b/>
          <w:bCs/>
          <w:sz w:val="32"/>
          <w:szCs w:val="32"/>
        </w:rPr>
        <w:t>项目绩效目标完成情况综述。项目全年预算数</w:t>
      </w:r>
      <w:r>
        <w:rPr>
          <w:rFonts w:hint="eastAsia" w:ascii="仿宋_GB2312" w:hAnsi="仿宋_GB2312" w:eastAsia="仿宋_GB2312" w:cs="仿宋_GB2312"/>
          <w:b/>
          <w:bCs/>
          <w:sz w:val="32"/>
          <w:szCs w:val="32"/>
          <w:lang w:val="en-US" w:eastAsia="zh-CN"/>
        </w:rPr>
        <w:t>20.00</w:t>
      </w:r>
      <w:r>
        <w:rPr>
          <w:rFonts w:hint="eastAsia" w:ascii="仿宋_GB2312" w:hAnsi="仿宋_GB2312" w:eastAsia="仿宋_GB2312" w:cs="仿宋_GB2312"/>
          <w:b/>
          <w:bCs/>
          <w:sz w:val="32"/>
          <w:szCs w:val="32"/>
        </w:rPr>
        <w:t>万元，执行数为</w:t>
      </w:r>
      <w:r>
        <w:rPr>
          <w:rFonts w:hint="eastAsia" w:ascii="仿宋_GB2312" w:hAnsi="仿宋_GB2312" w:eastAsia="仿宋_GB2312" w:cs="仿宋_GB2312"/>
          <w:b/>
          <w:bCs/>
          <w:sz w:val="32"/>
          <w:szCs w:val="32"/>
          <w:lang w:val="en-US" w:eastAsia="zh-CN"/>
        </w:rPr>
        <w:t>20.00</w:t>
      </w:r>
      <w:r>
        <w:rPr>
          <w:rFonts w:hint="eastAsia" w:ascii="仿宋_GB2312" w:hAnsi="仿宋_GB2312" w:eastAsia="仿宋_GB2312" w:cs="仿宋_GB2312"/>
          <w:b/>
          <w:bCs/>
          <w:sz w:val="32"/>
          <w:szCs w:val="32"/>
        </w:rPr>
        <w:t>万元，完成预算的</w:t>
      </w:r>
      <w:r>
        <w:rPr>
          <w:rFonts w:hint="eastAsia" w:ascii="仿宋_GB2312" w:hAnsi="仿宋_GB2312" w:eastAsia="仿宋_GB2312" w:cs="仿宋_GB2312"/>
          <w:b/>
          <w:bCs/>
          <w:sz w:val="32"/>
          <w:szCs w:val="32"/>
          <w:lang w:val="en-US" w:eastAsia="zh-CN"/>
        </w:rPr>
        <w:t>100</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通过项目实施，市级部门和八个县区对全市困难信访群众进行生产和生活的帮助救助，使被资助救助对象暂缓度过困难期，提升对党委政府的认同，提高对生活的信心，减少社会矛盾发生，杜绝违法行为发生，危害社会公共安全。发现主要问题：帮扶缺乏长期的的关注和引导。下步改进措施：对实施帮扶救助的信访群众做好回头看。</w:t>
      </w: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rPr>
          <w:rFonts w:hint="eastAsia" w:ascii="仿宋_GB2312" w:hAnsi="仿宋_GB2312" w:eastAsia="仿宋_GB2312" w:cs="仿宋_GB2312"/>
          <w:b/>
          <w:bCs/>
          <w:sz w:val="32"/>
          <w:szCs w:val="32"/>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
          <w:bCs/>
          <w:color w:val="000000"/>
          <w:kern w:val="0"/>
          <w:sz w:val="44"/>
          <w:szCs w:val="44"/>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color w:val="000000"/>
          <w:kern w:val="0"/>
          <w:sz w:val="44"/>
          <w:szCs w:val="44"/>
        </w:rPr>
        <w:t>项目绩效目标完成情况表</w:t>
      </w:r>
      <w:r>
        <w:rPr>
          <w:rFonts w:hint="eastAsia" w:ascii="方正小标宋简体" w:hAnsi="方正小标宋简体" w:eastAsia="方正小标宋简体" w:cs="方正小标宋简体"/>
          <w:b/>
          <w:bCs/>
          <w:color w:val="000000"/>
          <w:kern w:val="0"/>
          <w:sz w:val="44"/>
          <w:szCs w:val="44"/>
        </w:rPr>
        <w:br w:type="textWrapping"/>
      </w:r>
      <w:r>
        <w:rPr>
          <w:rFonts w:hint="eastAsia" w:ascii="方正小标宋简体" w:hAnsi="方正小标宋简体" w:eastAsia="方正小标宋简体" w:cs="方正小标宋简体"/>
          <w:b/>
          <w:bCs/>
          <w:color w:val="000000"/>
          <w:kern w:val="0"/>
          <w:sz w:val="44"/>
          <w:szCs w:val="44"/>
        </w:rPr>
        <w:t>(20</w:t>
      </w:r>
      <w:r>
        <w:rPr>
          <w:rFonts w:hint="eastAsia" w:ascii="方正小标宋简体" w:hAnsi="方正小标宋简体" w:eastAsia="方正小标宋简体" w:cs="方正小标宋简体"/>
          <w:b/>
          <w:bCs/>
          <w:color w:val="000000"/>
          <w:kern w:val="0"/>
          <w:sz w:val="44"/>
          <w:szCs w:val="44"/>
          <w:lang w:val="en-US" w:eastAsia="zh-CN"/>
        </w:rPr>
        <w:t>20</w:t>
      </w:r>
      <w:r>
        <w:rPr>
          <w:rFonts w:hint="eastAsia" w:ascii="方正小标宋简体" w:hAnsi="方正小标宋简体" w:eastAsia="方正小标宋简体" w:cs="方正小标宋简体"/>
          <w:b/>
          <w:bCs/>
          <w:color w:val="000000"/>
          <w:kern w:val="0"/>
          <w:sz w:val="44"/>
          <w:szCs w:val="44"/>
        </w:rPr>
        <w:t>年度</w:t>
      </w:r>
      <w:r>
        <w:rPr>
          <w:rFonts w:hint="eastAsia" w:ascii="方正小标宋简体" w:hAnsi="方正小标宋简体" w:eastAsia="方正小标宋简体" w:cs="方正小标宋简体"/>
          <w:b/>
          <w:bCs/>
          <w:color w:val="000000"/>
          <w:kern w:val="0"/>
          <w:sz w:val="44"/>
          <w:szCs w:val="44"/>
          <w:highlight w:val="none"/>
          <w:lang w:eastAsia="zh-CN"/>
        </w:rPr>
        <w:t>）</w:t>
      </w:r>
    </w:p>
    <w:tbl>
      <w:tblPr>
        <w:tblStyle w:val="12"/>
        <w:tblpPr w:leftFromText="180" w:rightFromText="180" w:vertAnchor="text" w:horzAnchor="page" w:tblpXSpec="center" w:tblpY="423"/>
        <w:tblOverlap w:val="never"/>
        <w:tblW w:w="10159" w:type="dxa"/>
        <w:jc w:val="center"/>
        <w:tblLayout w:type="fixed"/>
        <w:tblCellMar>
          <w:top w:w="0" w:type="dxa"/>
          <w:left w:w="0" w:type="dxa"/>
          <w:bottom w:w="0" w:type="dxa"/>
          <w:right w:w="0" w:type="dxa"/>
        </w:tblCellMar>
      </w:tblPr>
      <w:tblGrid>
        <w:gridCol w:w="1314"/>
        <w:gridCol w:w="945"/>
        <w:gridCol w:w="1370"/>
        <w:gridCol w:w="2124"/>
        <w:gridCol w:w="2274"/>
        <w:gridCol w:w="2132"/>
      </w:tblGrid>
      <w:tr>
        <w:tblPrEx>
          <w:tblCellMar>
            <w:top w:w="0" w:type="dxa"/>
            <w:left w:w="0" w:type="dxa"/>
            <w:bottom w:w="0" w:type="dxa"/>
            <w:right w:w="0" w:type="dxa"/>
          </w:tblCellMar>
        </w:tblPrEx>
        <w:trPr>
          <w:trHeight w:val="549" w:hRule="atLeast"/>
          <w:jc w:val="center"/>
        </w:trPr>
        <w:tc>
          <w:tcPr>
            <w:tcW w:w="362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项目名称</w:t>
            </w:r>
          </w:p>
        </w:tc>
        <w:tc>
          <w:tcPr>
            <w:tcW w:w="653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信访资助救助资金</w:t>
            </w:r>
          </w:p>
        </w:tc>
      </w:tr>
      <w:tr>
        <w:tblPrEx>
          <w:tblCellMar>
            <w:top w:w="0" w:type="dxa"/>
            <w:left w:w="0" w:type="dxa"/>
            <w:bottom w:w="0" w:type="dxa"/>
            <w:right w:w="0" w:type="dxa"/>
          </w:tblCellMar>
        </w:tblPrEx>
        <w:trPr>
          <w:trHeight w:val="549" w:hRule="atLeast"/>
          <w:jc w:val="center"/>
        </w:trPr>
        <w:tc>
          <w:tcPr>
            <w:tcW w:w="362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预算单位</w:t>
            </w:r>
          </w:p>
        </w:tc>
        <w:tc>
          <w:tcPr>
            <w:tcW w:w="6530"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sz w:val="24"/>
                <w:szCs w:val="24"/>
                <w:lang w:eastAsia="zh-CN"/>
              </w:rPr>
            </w:pPr>
            <w:r>
              <w:rPr>
                <w:rFonts w:hint="eastAsia" w:ascii="宋体" w:hAnsi="宋体" w:cs="宋体"/>
                <w:b/>
                <w:bCs/>
                <w:sz w:val="24"/>
                <w:szCs w:val="24"/>
                <w:lang w:eastAsia="zh-CN"/>
              </w:rPr>
              <w:t>广元市群众工作中心</w:t>
            </w:r>
          </w:p>
        </w:tc>
      </w:tr>
      <w:tr>
        <w:tblPrEx>
          <w:tblCellMar>
            <w:top w:w="0" w:type="dxa"/>
            <w:left w:w="0" w:type="dxa"/>
            <w:bottom w:w="0" w:type="dxa"/>
            <w:right w:w="0" w:type="dxa"/>
          </w:tblCellMar>
        </w:tblPrEx>
        <w:trPr>
          <w:trHeight w:val="549" w:hRule="atLeast"/>
          <w:jc w:val="center"/>
        </w:trPr>
        <w:tc>
          <w:tcPr>
            <w:tcW w:w="131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预算执行情况</w:t>
            </w:r>
            <w:r>
              <w:rPr>
                <w:rFonts w:hint="eastAsia" w:ascii="宋体" w:hAnsi="宋体" w:eastAsia="宋体" w:cs="宋体"/>
                <w:b/>
                <w:bCs/>
                <w:lang w:eastAsia="zh-CN"/>
              </w:rPr>
              <w:t>（</w:t>
            </w:r>
            <w:r>
              <w:rPr>
                <w:rFonts w:hint="eastAsia" w:ascii="宋体" w:hAnsi="宋体" w:eastAsia="宋体" w:cs="宋体"/>
                <w:b/>
                <w:bCs/>
              </w:rPr>
              <w:t>万元</w:t>
            </w:r>
            <w:r>
              <w:rPr>
                <w:rFonts w:hint="eastAsia" w:ascii="宋体" w:hAnsi="宋体" w:eastAsia="宋体" w:cs="宋体"/>
                <w:b/>
                <w:bCs/>
                <w:lang w:eastAsia="zh-CN"/>
              </w:rPr>
              <w:t>）</w:t>
            </w:r>
          </w:p>
        </w:tc>
        <w:tc>
          <w:tcPr>
            <w:tcW w:w="231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预算数</w:t>
            </w:r>
            <w:r>
              <w:rPr>
                <w:rFonts w:hint="eastAsia" w:ascii="宋体" w:hAnsi="宋体" w:eastAsia="宋体" w:cs="宋体"/>
                <w:b/>
                <w:bCs/>
                <w:lang w:eastAsia="zh-CN"/>
              </w:rPr>
              <w:t>：</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20.00万</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执行数</w:t>
            </w:r>
            <w:r>
              <w:rPr>
                <w:rFonts w:hint="eastAsia" w:ascii="宋体" w:hAnsi="宋体" w:eastAsia="宋体" w:cs="宋体"/>
                <w:b/>
                <w:bCs/>
                <w:lang w:eastAsia="zh-CN"/>
              </w:rPr>
              <w:t>：</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20.00万</w:t>
            </w:r>
          </w:p>
        </w:tc>
      </w:tr>
      <w:tr>
        <w:tblPrEx>
          <w:tblCellMar>
            <w:top w:w="0" w:type="dxa"/>
            <w:left w:w="0" w:type="dxa"/>
            <w:bottom w:w="0" w:type="dxa"/>
            <w:right w:w="0" w:type="dxa"/>
          </w:tblCellMar>
        </w:tblPrEx>
        <w:trPr>
          <w:trHeight w:val="549"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31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20.00万</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其中</w:t>
            </w:r>
            <w:r>
              <w:rPr>
                <w:rFonts w:hint="eastAsia" w:ascii="宋体" w:hAnsi="宋体" w:eastAsia="宋体" w:cs="宋体"/>
                <w:b/>
                <w:bCs/>
                <w:lang w:eastAsia="zh-CN"/>
              </w:rPr>
              <w:t>－</w:t>
            </w:r>
            <w:r>
              <w:rPr>
                <w:rFonts w:hint="eastAsia" w:ascii="宋体" w:hAnsi="宋体" w:eastAsia="宋体" w:cs="宋体"/>
                <w:b/>
                <w:bCs/>
              </w:rPr>
              <w:t>财政拨款</w:t>
            </w:r>
            <w:r>
              <w:rPr>
                <w:rFonts w:hint="eastAsia" w:ascii="宋体" w:hAnsi="宋体" w:eastAsia="宋体" w:cs="宋体"/>
                <w:b/>
                <w:bCs/>
                <w:lang w:eastAsia="zh-CN"/>
              </w:rPr>
              <w:t>：</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val="en-US" w:eastAsia="zh-CN"/>
              </w:rPr>
            </w:pPr>
            <w:r>
              <w:rPr>
                <w:rFonts w:hint="eastAsia" w:ascii="宋体" w:hAnsi="宋体" w:eastAsia="宋体" w:cs="宋体"/>
                <w:b/>
                <w:bCs/>
                <w:lang w:val="en-US" w:eastAsia="zh-CN"/>
              </w:rPr>
              <w:t>20.00万</w:t>
            </w:r>
          </w:p>
        </w:tc>
      </w:tr>
      <w:tr>
        <w:tblPrEx>
          <w:tblCellMar>
            <w:top w:w="0" w:type="dxa"/>
            <w:left w:w="0" w:type="dxa"/>
            <w:bottom w:w="0" w:type="dxa"/>
            <w:right w:w="0" w:type="dxa"/>
          </w:tblCellMar>
        </w:tblPrEx>
        <w:trPr>
          <w:trHeight w:val="549"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p>
        </w:tc>
        <w:tc>
          <w:tcPr>
            <w:tcW w:w="2315"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rPr>
              <w:t>其它资金</w:t>
            </w:r>
            <w:r>
              <w:rPr>
                <w:rFonts w:hint="eastAsia" w:ascii="宋体" w:hAnsi="宋体" w:eastAsia="宋体" w:cs="宋体"/>
                <w:b/>
                <w:bCs/>
                <w:lang w:eastAsia="zh-CN"/>
              </w:rPr>
              <w:t>：</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lang w:eastAsia="zh-CN"/>
              </w:rPr>
            </w:pPr>
            <w:r>
              <w:rPr>
                <w:rFonts w:hint="eastAsia" w:ascii="宋体" w:hAnsi="宋体" w:eastAsia="宋体" w:cs="宋体"/>
                <w:b/>
                <w:bCs/>
                <w:lang w:eastAsia="zh-CN"/>
              </w:rPr>
              <w:t>无</w:t>
            </w:r>
          </w:p>
        </w:tc>
      </w:tr>
      <w:tr>
        <w:tblPrEx>
          <w:tblCellMar>
            <w:top w:w="0" w:type="dxa"/>
            <w:left w:w="0" w:type="dxa"/>
            <w:bottom w:w="0" w:type="dxa"/>
            <w:right w:w="0" w:type="dxa"/>
          </w:tblCellMar>
        </w:tblPrEx>
        <w:trPr>
          <w:trHeight w:val="549" w:hRule="atLeast"/>
          <w:jc w:val="center"/>
        </w:trPr>
        <w:tc>
          <w:tcPr>
            <w:tcW w:w="131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年度目标完成情况</w:t>
            </w:r>
          </w:p>
        </w:tc>
        <w:tc>
          <w:tcPr>
            <w:tcW w:w="443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预期目标</w:t>
            </w:r>
          </w:p>
        </w:tc>
        <w:tc>
          <w:tcPr>
            <w:tcW w:w="44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jc w:val="center"/>
              <w:rPr>
                <w:rFonts w:hint="eastAsia" w:ascii="宋体" w:hAnsi="宋体" w:eastAsia="宋体" w:cs="宋体"/>
                <w:b/>
                <w:bCs/>
              </w:rPr>
            </w:pPr>
            <w:r>
              <w:rPr>
                <w:rFonts w:hint="eastAsia" w:ascii="宋体" w:hAnsi="宋体" w:eastAsia="宋体" w:cs="宋体"/>
                <w:b/>
                <w:bCs/>
              </w:rPr>
              <w:t>实际完成目标</w:t>
            </w:r>
          </w:p>
        </w:tc>
      </w:tr>
      <w:tr>
        <w:tblPrEx>
          <w:tblCellMar>
            <w:top w:w="0" w:type="dxa"/>
            <w:left w:w="0" w:type="dxa"/>
            <w:bottom w:w="0" w:type="dxa"/>
            <w:right w:w="0" w:type="dxa"/>
          </w:tblCellMar>
        </w:tblPrEx>
        <w:trPr>
          <w:trHeight w:val="646"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4439"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 xml:space="preserve">开展对特殊困难群众进行资助救助。     </w:t>
            </w:r>
          </w:p>
        </w:tc>
        <w:tc>
          <w:tcPr>
            <w:tcW w:w="4406" w:type="dxa"/>
            <w:gridSpan w:val="2"/>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市本级及8个县区</w:t>
            </w:r>
            <w:r>
              <w:rPr>
                <w:rFonts w:hint="eastAsia" w:ascii="宋体" w:hAnsi="宋体" w:eastAsia="宋体" w:cs="宋体"/>
                <w:b/>
                <w:bCs/>
                <w:lang w:eastAsia="zh-CN"/>
              </w:rPr>
              <w:t>的的困难群众实施帮扶救助</w:t>
            </w:r>
          </w:p>
        </w:tc>
      </w:tr>
      <w:tr>
        <w:tblPrEx>
          <w:tblCellMar>
            <w:top w:w="0" w:type="dxa"/>
            <w:left w:w="0" w:type="dxa"/>
            <w:bottom w:w="0" w:type="dxa"/>
            <w:right w:w="0" w:type="dxa"/>
          </w:tblCellMar>
        </w:tblPrEx>
        <w:trPr>
          <w:trHeight w:val="1005" w:hRule="atLeast"/>
          <w:jc w:val="center"/>
        </w:trPr>
        <w:tc>
          <w:tcPr>
            <w:tcW w:w="1314"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绩效指标完成情况</w:t>
            </w: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一级指标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二级指标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三级指标</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预期指标值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rPr>
              <w:t>实际完成指标值</w:t>
            </w:r>
            <w:r>
              <w:rPr>
                <w:rFonts w:hint="eastAsia" w:ascii="宋体" w:hAnsi="宋体" w:eastAsia="宋体" w:cs="宋体"/>
                <w:b/>
                <w:bCs/>
                <w:lang w:eastAsia="zh-CN"/>
              </w:rPr>
              <w:t>（</w:t>
            </w:r>
            <w:r>
              <w:rPr>
                <w:rFonts w:hint="eastAsia" w:ascii="宋体" w:hAnsi="宋体" w:eastAsia="宋体" w:cs="宋体"/>
                <w:b/>
                <w:bCs/>
              </w:rPr>
              <w:t>包含数字及文字描述</w:t>
            </w:r>
            <w:r>
              <w:rPr>
                <w:rFonts w:hint="eastAsia" w:ascii="宋体" w:hAnsi="宋体" w:eastAsia="宋体" w:cs="宋体"/>
                <w:b/>
                <w:bCs/>
                <w:lang w:eastAsia="zh-CN"/>
              </w:rPr>
              <w:t>）</w:t>
            </w:r>
          </w:p>
        </w:tc>
      </w:tr>
      <w:tr>
        <w:tblPrEx>
          <w:tblCellMar>
            <w:top w:w="0" w:type="dxa"/>
            <w:left w:w="0" w:type="dxa"/>
            <w:bottom w:w="0" w:type="dxa"/>
            <w:right w:w="0" w:type="dxa"/>
          </w:tblCellMar>
        </w:tblPrEx>
        <w:trPr>
          <w:trHeight w:val="1005"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数量指标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rPr>
              <w:t>市本级及8个县区</w:t>
            </w:r>
            <w:r>
              <w:rPr>
                <w:rFonts w:hint="eastAsia" w:ascii="宋体" w:hAnsi="宋体" w:eastAsia="宋体" w:cs="宋体"/>
                <w:b/>
                <w:bCs/>
                <w:lang w:eastAsia="zh-CN"/>
              </w:rPr>
              <w:t>共计</w:t>
            </w:r>
            <w:r>
              <w:rPr>
                <w:rFonts w:hint="eastAsia" w:ascii="宋体" w:hAnsi="宋体" w:eastAsia="宋体" w:cs="宋体"/>
                <w:b/>
                <w:bCs/>
                <w:lang w:val="en-US" w:eastAsia="zh-CN"/>
              </w:rPr>
              <w:t>9个单位</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年资助救助≥50人</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年资助救助42人</w:t>
            </w:r>
          </w:p>
        </w:tc>
      </w:tr>
      <w:tr>
        <w:tblPrEx>
          <w:tblCellMar>
            <w:top w:w="0" w:type="dxa"/>
            <w:left w:w="0" w:type="dxa"/>
            <w:bottom w:w="0" w:type="dxa"/>
            <w:right w:w="0" w:type="dxa"/>
          </w:tblCellMar>
        </w:tblPrEx>
        <w:trPr>
          <w:trHeight w:val="1005"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项目完成指标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时效指标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完成时间</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2020年12月</w:t>
            </w:r>
          </w:p>
        </w:tc>
      </w:tr>
      <w:tr>
        <w:tblPrEx>
          <w:tblCellMar>
            <w:top w:w="0" w:type="dxa"/>
            <w:left w:w="0" w:type="dxa"/>
            <w:bottom w:w="0" w:type="dxa"/>
            <w:right w:w="0" w:type="dxa"/>
          </w:tblCellMar>
        </w:tblPrEx>
        <w:trPr>
          <w:trHeight w:val="1463"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rPr>
              <w:t>项目</w:t>
            </w:r>
            <w:r>
              <w:rPr>
                <w:rFonts w:hint="eastAsia" w:ascii="宋体" w:hAnsi="宋体" w:eastAsia="宋体" w:cs="宋体"/>
                <w:b/>
                <w:bCs/>
                <w:lang w:eastAsia="zh-CN"/>
              </w:rPr>
              <w:t>效益</w:t>
            </w:r>
            <w:r>
              <w:rPr>
                <w:rFonts w:hint="eastAsia" w:ascii="宋体" w:hAnsi="宋体" w:eastAsia="宋体" w:cs="宋体"/>
                <w:b/>
                <w:bCs/>
              </w:rPr>
              <w:t>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社会效益指标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达社会效益</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对信访群众开展资助救助</w:t>
            </w:r>
            <w:r>
              <w:rPr>
                <w:rFonts w:hint="eastAsia" w:ascii="宋体" w:hAnsi="宋体" w:cs="宋体"/>
                <w:b/>
                <w:bCs/>
                <w:lang w:eastAsia="zh-CN"/>
              </w:rPr>
              <w:t>，</w:t>
            </w:r>
            <w:r>
              <w:rPr>
                <w:rFonts w:hint="eastAsia" w:ascii="宋体" w:hAnsi="宋体" w:eastAsia="宋体" w:cs="宋体"/>
                <w:b/>
                <w:bCs/>
                <w:lang w:eastAsia="zh-CN"/>
              </w:rPr>
              <w:t>提高对生活的信心</w:t>
            </w:r>
            <w:r>
              <w:rPr>
                <w:rFonts w:hint="eastAsia" w:ascii="宋体" w:hAnsi="宋体" w:cs="宋体"/>
                <w:b/>
                <w:bCs/>
                <w:lang w:eastAsia="zh-CN"/>
              </w:rPr>
              <w:t>。</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对</w:t>
            </w:r>
            <w:r>
              <w:rPr>
                <w:rFonts w:hint="eastAsia" w:ascii="宋体" w:hAnsi="宋体" w:eastAsia="宋体" w:cs="宋体"/>
                <w:b/>
                <w:bCs/>
                <w:lang w:eastAsia="zh-CN"/>
              </w:rPr>
              <w:t>对信访群众开展资助救助。提高对生活的信心，</w:t>
            </w:r>
          </w:p>
        </w:tc>
      </w:tr>
      <w:tr>
        <w:tblPrEx>
          <w:tblCellMar>
            <w:top w:w="0" w:type="dxa"/>
            <w:left w:w="0" w:type="dxa"/>
            <w:bottom w:w="0" w:type="dxa"/>
            <w:right w:w="0" w:type="dxa"/>
          </w:tblCellMar>
        </w:tblPrEx>
        <w:trPr>
          <w:trHeight w:val="1043" w:hRule="atLeast"/>
          <w:jc w:val="center"/>
        </w:trPr>
        <w:tc>
          <w:tcPr>
            <w:tcW w:w="1314"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p>
        </w:tc>
        <w:tc>
          <w:tcPr>
            <w:tcW w:w="9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137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rPr>
            </w:pPr>
            <w:r>
              <w:rPr>
                <w:rFonts w:hint="eastAsia" w:ascii="宋体" w:hAnsi="宋体" w:eastAsia="宋体" w:cs="宋体"/>
                <w:b/>
                <w:bCs/>
                <w:lang w:eastAsia="zh-CN"/>
              </w:rPr>
              <w:t>满意度</w:t>
            </w:r>
            <w:r>
              <w:rPr>
                <w:rFonts w:hint="eastAsia" w:ascii="宋体" w:hAnsi="宋体" w:eastAsia="宋体" w:cs="宋体"/>
                <w:b/>
                <w:bCs/>
              </w:rPr>
              <w:t>指标</w:t>
            </w:r>
          </w:p>
        </w:tc>
        <w:tc>
          <w:tcPr>
            <w:tcW w:w="212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群众满意度</w:t>
            </w:r>
          </w:p>
        </w:tc>
        <w:tc>
          <w:tcPr>
            <w:tcW w:w="2274"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eastAsia="zh-CN"/>
              </w:rPr>
            </w:pPr>
            <w:r>
              <w:rPr>
                <w:rFonts w:hint="eastAsia" w:ascii="宋体" w:hAnsi="宋体" w:eastAsia="宋体" w:cs="宋体"/>
                <w:b/>
                <w:bCs/>
                <w:lang w:eastAsia="zh-CN"/>
              </w:rPr>
              <w:t>满意度≥95%</w:t>
            </w:r>
          </w:p>
        </w:tc>
        <w:tc>
          <w:tcPr>
            <w:tcW w:w="2132"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bidi w:val="0"/>
              <w:rPr>
                <w:rFonts w:hint="eastAsia" w:ascii="宋体" w:hAnsi="宋体" w:eastAsia="宋体" w:cs="宋体"/>
                <w:b/>
                <w:bCs/>
                <w:lang w:val="en-US" w:eastAsia="zh-CN"/>
              </w:rPr>
            </w:pPr>
            <w:r>
              <w:rPr>
                <w:rFonts w:hint="eastAsia" w:ascii="宋体" w:hAnsi="宋体" w:eastAsia="宋体" w:cs="宋体"/>
                <w:b/>
                <w:bCs/>
                <w:lang w:val="en-US" w:eastAsia="zh-CN"/>
              </w:rPr>
              <w:t>100%</w:t>
            </w:r>
          </w:p>
        </w:tc>
      </w:tr>
    </w:tbl>
    <w:p>
      <w:pPr>
        <w:pStyle w:val="2"/>
        <w:numPr>
          <w:ilvl w:val="0"/>
          <w:numId w:val="0"/>
        </w:num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ageBreakBefore w:val="0"/>
        <w:kinsoku/>
        <w:wordWrap/>
        <w:overflowPunct/>
        <w:topLinePunct w:val="0"/>
        <w:bidi w:val="0"/>
        <w:spacing w:line="576" w:lineRule="exact"/>
        <w:ind w:left="63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2.部门绩效评价结果。</w:t>
      </w: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本部门按要求对</w:t>
      </w:r>
      <w:r>
        <w:rPr>
          <w:rFonts w:hint="eastAsia" w:ascii="仿宋_GB2312" w:hAnsi="仿宋_GB2312" w:eastAsia="仿宋_GB2312" w:cs="仿宋_GB2312"/>
          <w:b/>
          <w:bCs/>
          <w:sz w:val="32"/>
          <w:szCs w:val="32"/>
          <w:lang w:val="en-US" w:eastAsia="zh-CN"/>
        </w:rPr>
        <w:t>2020</w:t>
      </w:r>
      <w:r>
        <w:rPr>
          <w:rFonts w:hint="eastAsia" w:ascii="仿宋_GB2312" w:hAnsi="仿宋_GB2312" w:eastAsia="仿宋_GB2312" w:cs="仿宋_GB2312"/>
          <w:b/>
          <w:bCs/>
          <w:sz w:val="32"/>
          <w:szCs w:val="32"/>
        </w:rPr>
        <w:t>年部门整体支出绩效评价情况开展自评，《</w:t>
      </w:r>
      <w:r>
        <w:rPr>
          <w:rFonts w:hint="eastAsia" w:ascii="仿宋_GB2312" w:hAnsi="仿宋_GB2312" w:eastAsia="仿宋_GB2312" w:cs="仿宋_GB2312"/>
          <w:b/>
          <w:bCs/>
          <w:sz w:val="32"/>
          <w:szCs w:val="32"/>
          <w:lang w:eastAsia="zh-CN"/>
        </w:rPr>
        <w:t>广元市群众工作中心</w:t>
      </w:r>
      <w:r>
        <w:rPr>
          <w:rFonts w:hint="eastAsia" w:ascii="仿宋_GB2312" w:hAnsi="仿宋_GB2312" w:eastAsia="仿宋_GB2312" w:cs="仿宋_GB2312"/>
          <w:b/>
          <w:bCs/>
          <w:sz w:val="32"/>
          <w:szCs w:val="32"/>
        </w:rPr>
        <w:t>部门20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年部门整体支出绩效评价报告》见附件（附件1）。</w:t>
      </w:r>
    </w:p>
    <w:p>
      <w:pPr>
        <w:pageBreakBefore w:val="0"/>
        <w:kinsoku/>
        <w:wordWrap/>
        <w:overflowPunct/>
        <w:topLinePunct w:val="0"/>
        <w:bidi w:val="0"/>
        <w:spacing w:line="576" w:lineRule="exact"/>
        <w:ind w:firstLine="642" w:firstLineChars="200"/>
        <w:rPr>
          <w:rFonts w:ascii="仿宋_GB2312" w:eastAsia="仿宋_GB2312"/>
          <w:b/>
          <w:bCs/>
          <w:color w:val="FF0000"/>
          <w:sz w:val="32"/>
          <w:szCs w:val="32"/>
        </w:rPr>
      </w:pPr>
      <w:r>
        <w:rPr>
          <w:rFonts w:hint="eastAsia" w:ascii="仿宋_GB2312" w:hAnsi="仿宋_GB2312" w:eastAsia="仿宋_GB2312" w:cs="仿宋_GB2312"/>
          <w:b/>
          <w:bCs/>
          <w:sz w:val="32"/>
          <w:szCs w:val="32"/>
        </w:rPr>
        <w:t>本部门自行组织对项目开展了绩效评价，《</w:t>
      </w:r>
      <w:r>
        <w:rPr>
          <w:rFonts w:hint="eastAsia" w:ascii="仿宋_GB2312" w:hAnsi="仿宋_GB2312" w:eastAsia="仿宋_GB2312" w:cs="仿宋_GB2312"/>
          <w:b/>
          <w:bCs/>
          <w:sz w:val="32"/>
          <w:szCs w:val="32"/>
          <w:lang w:eastAsia="zh-CN"/>
        </w:rPr>
        <w:t>中共广元市委群众工作局</w:t>
      </w:r>
      <w:r>
        <w:rPr>
          <w:rFonts w:hint="eastAsia" w:ascii="仿宋_GB2312" w:hAnsi="仿宋_GB2312" w:eastAsia="仿宋_GB2312" w:cs="仿宋_GB2312"/>
          <w:b/>
          <w:bCs/>
          <w:sz w:val="32"/>
          <w:szCs w:val="32"/>
        </w:rPr>
        <w:t>项目20</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年绩效评价报告》见附件（附件2）。</w:t>
      </w:r>
    </w:p>
    <w:p>
      <w:pPr>
        <w:pageBreakBefore w:val="0"/>
        <w:widowControl/>
        <w:kinsoku/>
        <w:wordWrap/>
        <w:overflowPunct/>
        <w:topLinePunct w:val="0"/>
        <w:bidi w:val="0"/>
        <w:spacing w:line="576" w:lineRule="exact"/>
        <w:jc w:val="left"/>
        <w:rPr>
          <w:rFonts w:ascii="仿宋_GB2312" w:eastAsia="仿宋_GB2312"/>
          <w:b/>
          <w:bCs/>
          <w:color w:val="FF0000"/>
          <w:sz w:val="32"/>
          <w:szCs w:val="32"/>
        </w:rPr>
      </w:pPr>
      <w:r>
        <w:rPr>
          <w:rFonts w:ascii="仿宋_GB2312" w:eastAsia="仿宋_GB2312"/>
          <w:b/>
          <w:bCs/>
          <w:color w:val="FF0000"/>
          <w:sz w:val="32"/>
          <w:szCs w:val="32"/>
        </w:rPr>
        <w:br w:type="page"/>
      </w:r>
    </w:p>
    <w:p>
      <w:pPr>
        <w:pageBreakBefore w:val="0"/>
        <w:numPr>
          <w:ilvl w:val="0"/>
          <w:numId w:val="2"/>
        </w:numPr>
        <w:kinsoku/>
        <w:wordWrap/>
        <w:overflowPunct/>
        <w:topLinePunct w:val="0"/>
        <w:bidi w:val="0"/>
        <w:spacing w:line="576" w:lineRule="exact"/>
        <w:ind w:firstLine="662" w:firstLineChars="150"/>
        <w:jc w:val="center"/>
        <w:outlineLvl w:val="0"/>
        <w:rPr>
          <w:rStyle w:val="25"/>
          <w:rFonts w:ascii="黑体" w:hAnsi="黑体" w:eastAsia="黑体"/>
          <w:b/>
          <w:bCs/>
        </w:rPr>
      </w:pPr>
      <w:bookmarkStart w:id="59" w:name="_Toc15377225"/>
      <w:bookmarkStart w:id="60" w:name="_Toc15396613"/>
      <w:r>
        <w:rPr>
          <w:rFonts w:hint="eastAsia" w:ascii="黑体" w:hAnsi="黑体" w:eastAsia="黑体"/>
          <w:b/>
          <w:bCs/>
          <w:color w:val="000000"/>
          <w:sz w:val="44"/>
          <w:szCs w:val="44"/>
        </w:rPr>
        <w:t>名</w:t>
      </w:r>
      <w:r>
        <w:rPr>
          <w:rStyle w:val="25"/>
          <w:rFonts w:hint="eastAsia" w:ascii="黑体" w:hAnsi="黑体" w:eastAsia="黑体"/>
          <w:b/>
          <w:bCs/>
        </w:rPr>
        <w:t>词解释</w:t>
      </w:r>
      <w:bookmarkEnd w:id="59"/>
      <w:bookmarkEnd w:id="60"/>
    </w:p>
    <w:p>
      <w:pPr>
        <w:pageBreakBefore w:val="0"/>
        <w:kinsoku/>
        <w:wordWrap/>
        <w:overflowPunct/>
        <w:topLinePunct w:val="0"/>
        <w:bidi w:val="0"/>
        <w:spacing w:line="576" w:lineRule="exact"/>
        <w:jc w:val="left"/>
        <w:rPr>
          <w:rFonts w:ascii="宋体"/>
          <w:b/>
          <w:bCs/>
          <w:color w:val="000000"/>
          <w:sz w:val="44"/>
          <w:szCs w:val="44"/>
        </w:rPr>
      </w:pP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1.财政拨款收入：指单位从同级财政部门取得的财政预算资金。</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2.事业收入：指事业单位开展专业业务活动及辅助活动取得的收入。</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3.年初结转和结余：指以前年度尚未完成、结转到本年按有关规定继续使用的资金。</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4.结余分配：指事业单位按照事业单位会计制度的规定从非财政补助结余中分配的事业基金和职工福利基金等。</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5、年末结转和结余：指单位按有关规定结转到下年或以后年度继续使用的资金。</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6.一般公共服务（类）政府办公厅及相关机构事务（款）信访事务（项）指用于接待群众来信来访方面的支出。</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7.一般公共服务（类）政府办公厅及相关机构事务（款）专项服务（项）指其他有关生活服务管理支出。</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8.社会保障和就业（类）行政单位离退休（款）机关事业单位基本养老保险支出（项）指机关事业单位缴纳的基本养老保险支出。</w:t>
      </w:r>
    </w:p>
    <w:p>
      <w:pPr>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9.医疗卫生与计划生育（类）行政事业单位医疗（款）行政单位医疗（项</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指行政单位基本医疗保险缴费。</w:t>
      </w:r>
    </w:p>
    <w:p>
      <w:pPr>
        <w:pageBreakBefore w:val="0"/>
        <w:kinsoku/>
        <w:wordWrap/>
        <w:overflowPunct/>
        <w:topLinePunct w:val="0"/>
        <w:bidi w:val="0"/>
        <w:spacing w:line="576" w:lineRule="exact"/>
        <w:ind w:firstLine="642" w:firstLineChars="200"/>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10.住房保障（类</w:t>
      </w:r>
      <w:r>
        <w:rPr>
          <w:rFonts w:hint="eastAsia" w:ascii="仿宋_GB2312" w:hAnsi="仿宋_GB2312" w:eastAsia="仿宋_GB2312" w:cs="仿宋_GB2312"/>
          <w:b/>
          <w:bCs/>
          <w:color w:val="auto"/>
          <w:kern w:val="2"/>
          <w:sz w:val="32"/>
          <w:szCs w:val="32"/>
          <w:highlight w:val="none"/>
          <w:lang w:val="en-US" w:eastAsia="zh-CN" w:bidi="ar-SA"/>
        </w:rPr>
        <w:t>）</w:t>
      </w:r>
      <w:r>
        <w:rPr>
          <w:rFonts w:hint="eastAsia" w:ascii="仿宋_GB2312" w:hAnsi="仿宋_GB2312" w:eastAsia="仿宋_GB2312" w:cs="仿宋_GB2312"/>
          <w:b/>
          <w:bCs/>
          <w:color w:val="auto"/>
          <w:kern w:val="2"/>
          <w:sz w:val="32"/>
          <w:szCs w:val="32"/>
          <w:lang w:val="en-US" w:eastAsia="zh-CN" w:bidi="ar-SA"/>
        </w:rPr>
        <w:t>住房改革支出（款）住房公积金（项）指行政事业单位按基本工资和津贴补贴的规定比例缴纳的住房公积金。</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11.基本支出：指为保障机构正常运转、完成日常工作任务而发生的人员支出和公用支出。</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12.项目支出：指在基本支出之外为完成特定行政任务和事业发展目标所发生的支出。</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13.经营支出：指事业单位在专业业务活动及其辅助活动之外开展非独立核算经营活动发生的支出。</w:t>
      </w:r>
    </w:p>
    <w:p>
      <w:pPr>
        <w:pStyle w:val="23"/>
        <w:pageBreakBefore w:val="0"/>
        <w:kinsoku/>
        <w:wordWrap/>
        <w:overflowPunct/>
        <w:topLinePunct w:val="0"/>
        <w:bidi w:val="0"/>
        <w:spacing w:line="576" w:lineRule="exact"/>
        <w:ind w:firstLine="642"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ageBreakBefore w:val="0"/>
        <w:kinsoku/>
        <w:wordWrap/>
        <w:overflowPunct/>
        <w:topLinePunct w:val="0"/>
        <w:bidi w:val="0"/>
        <w:spacing w:line="576" w:lineRule="exact"/>
        <w:jc w:val="center"/>
        <w:outlineLvl w:val="0"/>
        <w:rPr>
          <w:rStyle w:val="25"/>
          <w:rFonts w:ascii="黑体" w:hAnsi="黑体" w:eastAsia="黑体"/>
          <w:b/>
          <w:bCs/>
        </w:rPr>
      </w:pPr>
      <w:bookmarkStart w:id="61" w:name="_Toc15377226"/>
      <w:r>
        <w:rPr>
          <w:rFonts w:ascii="宋体"/>
          <w:b/>
          <w:bCs/>
          <w:color w:val="000000"/>
          <w:sz w:val="44"/>
          <w:szCs w:val="44"/>
        </w:rPr>
        <w:br w:type="page"/>
      </w:r>
      <w:bookmarkStart w:id="62" w:name="_Toc15396614"/>
      <w:r>
        <w:rPr>
          <w:rFonts w:hint="eastAsia" w:ascii="黑体" w:hAnsi="黑体" w:eastAsia="黑体"/>
          <w:b/>
          <w:bCs/>
          <w:color w:val="000000"/>
          <w:sz w:val="44"/>
          <w:szCs w:val="44"/>
        </w:rPr>
        <w:t>第</w:t>
      </w:r>
      <w:r>
        <w:rPr>
          <w:rStyle w:val="25"/>
          <w:rFonts w:hint="eastAsia" w:ascii="黑体" w:hAnsi="黑体" w:eastAsia="黑体"/>
          <w:b/>
          <w:bCs/>
        </w:rPr>
        <w:t>四部分 附件</w:t>
      </w:r>
      <w:bookmarkEnd w:id="62"/>
    </w:p>
    <w:p>
      <w:pPr>
        <w:pageBreakBefore w:val="0"/>
        <w:kinsoku/>
        <w:wordWrap/>
        <w:overflowPunct/>
        <w:topLinePunct w:val="0"/>
        <w:bidi w:val="0"/>
        <w:spacing w:line="576" w:lineRule="exact"/>
        <w:jc w:val="left"/>
        <w:outlineLvl w:val="0"/>
        <w:rPr>
          <w:rFonts w:ascii="方正小标宋简体" w:hAnsi="方正小标宋简体" w:eastAsia="方正小标宋简体" w:cs="方正小标宋简体"/>
          <w:b/>
          <w:bCs/>
          <w:sz w:val="32"/>
          <w:szCs w:val="32"/>
        </w:rPr>
      </w:pPr>
      <w:r>
        <w:rPr>
          <w:rFonts w:hint="eastAsia" w:ascii="黑体" w:hAnsi="黑体" w:eastAsia="黑体" w:cs="黑体"/>
          <w:b/>
          <w:bCs/>
          <w:sz w:val="32"/>
          <w:szCs w:val="32"/>
        </w:rPr>
        <w:t>附件1</w:t>
      </w:r>
    </w:p>
    <w:p>
      <w:pPr>
        <w:pageBreakBefore w:val="0"/>
        <w:kinsoku/>
        <w:wordWrap/>
        <w:overflowPunct/>
        <w:topLinePunct w:val="0"/>
        <w:bidi w:val="0"/>
        <w:spacing w:line="576" w:lineRule="exact"/>
        <w:jc w:val="center"/>
        <w:rPr>
          <w:rFonts w:ascii="方正小标宋简体" w:hAnsi="方正小标宋简体" w:eastAsia="方正小标宋简体" w:cs="方正小标宋简体"/>
          <w:b/>
          <w:bCs/>
          <w:sz w:val="44"/>
          <w:szCs w:val="44"/>
        </w:rPr>
      </w:pPr>
    </w:p>
    <w:p>
      <w:pPr>
        <w:pageBreakBefore w:val="0"/>
        <w:kinsoku/>
        <w:wordWrap/>
        <w:overflowPunct/>
        <w:topLinePunct w:val="0"/>
        <w:bidi w:val="0"/>
        <w:spacing w:line="576" w:lineRule="exact"/>
        <w:ind w:left="1200" w:hanging="1204" w:hangingChars="300"/>
        <w:jc w:val="center"/>
        <w:rPr>
          <w:rFonts w:hint="eastAsia" w:ascii="方正小标宋简体" w:hAnsi="宋体" w:eastAsia="方正小标宋简体"/>
          <w:b/>
          <w:bCs/>
          <w:color w:val="000000"/>
          <w:kern w:val="0"/>
          <w:sz w:val="40"/>
          <w:szCs w:val="44"/>
          <w:lang w:eastAsia="zh-CN"/>
        </w:rPr>
      </w:pPr>
      <w:r>
        <w:rPr>
          <w:rFonts w:hint="eastAsia" w:ascii="方正小标宋简体" w:hAnsi="宋体" w:eastAsia="方正小标宋简体"/>
          <w:b/>
          <w:bCs/>
          <w:color w:val="000000"/>
          <w:kern w:val="0"/>
          <w:sz w:val="40"/>
          <w:szCs w:val="44"/>
          <w:lang w:eastAsia="zh-CN"/>
        </w:rPr>
        <w:t>广元市群众工作中心</w:t>
      </w:r>
    </w:p>
    <w:p>
      <w:pPr>
        <w:pageBreakBefore w:val="0"/>
        <w:kinsoku/>
        <w:wordWrap/>
        <w:overflowPunct/>
        <w:topLinePunct w:val="0"/>
        <w:bidi w:val="0"/>
        <w:spacing w:line="576" w:lineRule="exact"/>
        <w:ind w:left="1200" w:hanging="1204" w:hangingChars="300"/>
        <w:jc w:val="center"/>
        <w:rPr>
          <w:rFonts w:ascii="方正小标宋简体" w:hAnsi="宋体" w:eastAsia="方正小标宋简体"/>
          <w:b/>
          <w:bCs/>
          <w:color w:val="000000"/>
          <w:kern w:val="0"/>
          <w:sz w:val="40"/>
          <w:szCs w:val="44"/>
          <w:lang w:val="zh-CN"/>
        </w:rPr>
      </w:pPr>
      <w:r>
        <w:rPr>
          <w:rFonts w:ascii="方正小标宋简体" w:hAnsi="宋体" w:eastAsia="方正小标宋简体"/>
          <w:b/>
          <w:bCs/>
          <w:color w:val="000000"/>
          <w:kern w:val="0"/>
          <w:sz w:val="40"/>
          <w:szCs w:val="44"/>
        </w:rPr>
        <w:t>20</w:t>
      </w:r>
      <w:r>
        <w:rPr>
          <w:rFonts w:hint="eastAsia" w:ascii="方正小标宋简体" w:hAnsi="宋体" w:eastAsia="方正小标宋简体"/>
          <w:b/>
          <w:bCs/>
          <w:color w:val="000000"/>
          <w:kern w:val="0"/>
          <w:sz w:val="40"/>
          <w:szCs w:val="44"/>
          <w:lang w:val="en-US" w:eastAsia="zh-CN"/>
        </w:rPr>
        <w:t>20</w:t>
      </w:r>
      <w:r>
        <w:rPr>
          <w:rFonts w:ascii="方正小标宋简体" w:hAnsi="宋体" w:eastAsia="方正小标宋简体"/>
          <w:b/>
          <w:bCs/>
          <w:color w:val="000000"/>
          <w:kern w:val="0"/>
          <w:sz w:val="40"/>
          <w:szCs w:val="44"/>
        </w:rPr>
        <w:t>年部门</w:t>
      </w:r>
      <w:r>
        <w:rPr>
          <w:rFonts w:hint="eastAsia" w:ascii="方正小标宋简体" w:hAnsi="宋体" w:eastAsia="方正小标宋简体"/>
          <w:b/>
          <w:bCs/>
          <w:color w:val="000000"/>
          <w:kern w:val="0"/>
          <w:sz w:val="40"/>
          <w:szCs w:val="44"/>
          <w:lang w:val="zh-CN"/>
        </w:rPr>
        <w:t>整体支出绩效评价报告</w:t>
      </w:r>
    </w:p>
    <w:p>
      <w:pPr>
        <w:pageBreakBefore w:val="0"/>
        <w:widowControl/>
        <w:kinsoku/>
        <w:wordWrap/>
        <w:overflowPunct/>
        <w:topLinePunct w:val="0"/>
        <w:bidi w:val="0"/>
        <w:adjustRightInd w:val="0"/>
        <w:snapToGrid w:val="0"/>
        <w:spacing w:line="576" w:lineRule="exact"/>
        <w:ind w:firstLine="481" w:firstLineChars="200"/>
        <w:contextualSpacing/>
        <w:jc w:val="left"/>
        <w:rPr>
          <w:rFonts w:ascii="黑体" w:hAnsi="宋体" w:eastAsia="黑体" w:cs="宋体"/>
          <w:b/>
          <w:bCs/>
          <w:color w:val="000000"/>
          <w:kern w:val="0"/>
          <w:sz w:val="24"/>
          <w:szCs w:val="32"/>
          <w:shd w:val="clear" w:color="auto" w:fill="FFFFFF"/>
        </w:rPr>
      </w:pPr>
    </w:p>
    <w:p>
      <w:pPr>
        <w:pageBreakBefore w:val="0"/>
        <w:widowControl/>
        <w:kinsoku/>
        <w:wordWrap/>
        <w:overflowPunct/>
        <w:topLinePunct w:val="0"/>
        <w:bidi w:val="0"/>
        <w:adjustRightInd w:val="0"/>
        <w:snapToGrid w:val="0"/>
        <w:spacing w:line="576" w:lineRule="exact"/>
        <w:ind w:firstLine="642" w:firstLineChars="200"/>
        <w:contextualSpacing/>
        <w:jc w:val="left"/>
        <w:rPr>
          <w:rFonts w:ascii="黑体" w:hAnsi="宋体" w:eastAsia="黑体" w:cs="宋体"/>
          <w:b/>
          <w:bCs/>
          <w:color w:val="000000"/>
          <w:kern w:val="0"/>
          <w:sz w:val="32"/>
          <w:szCs w:val="32"/>
          <w:shd w:val="clear" w:color="auto" w:fill="FFFFFF"/>
          <w:lang w:val="zh-CN"/>
        </w:rPr>
      </w:pPr>
      <w:r>
        <w:rPr>
          <w:rFonts w:hint="eastAsia" w:ascii="黑体" w:hAnsi="宋体" w:eastAsia="黑体" w:cs="宋体"/>
          <w:b/>
          <w:bCs/>
          <w:color w:val="000000"/>
          <w:kern w:val="0"/>
          <w:sz w:val="32"/>
          <w:szCs w:val="32"/>
          <w:shd w:val="clear" w:color="auto" w:fill="FFFFFF"/>
        </w:rPr>
        <w:t>一、</w:t>
      </w:r>
      <w:r>
        <w:rPr>
          <w:rFonts w:hint="eastAsia" w:ascii="黑体" w:hAnsi="宋体" w:eastAsia="黑体" w:cs="宋体"/>
          <w:b/>
          <w:bCs/>
          <w:color w:val="000000"/>
          <w:kern w:val="0"/>
          <w:sz w:val="32"/>
          <w:szCs w:val="32"/>
          <w:shd w:val="clear" w:color="auto" w:fill="FFFFFF"/>
          <w:lang w:val="zh-CN"/>
        </w:rPr>
        <w:t>部门（单位）概况</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（一）机构组成。市群众工作中心</w:t>
      </w:r>
      <w:r>
        <w:rPr>
          <w:rStyle w:val="26"/>
          <w:rFonts w:hint="eastAsia" w:ascii="仿宋_GB2312" w:hAnsi="仿宋_GB2312" w:eastAsia="仿宋_GB2312" w:cs="仿宋_GB2312"/>
          <w:b/>
          <w:bCs/>
          <w:lang w:val="en-US" w:eastAsia="zh-CN" w:bidi="ar-SA"/>
        </w:rPr>
        <w:t>设书记市长信箱管理科、困难信访群众帮扶科、信访法规宣教科3个科室。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textAlignment w:val="auto"/>
        <w:outlineLvl w:val="9"/>
        <w:rPr>
          <w:rFonts w:hint="eastAsia" w:ascii="楷体_GB2312" w:hAnsi="楷体_GB2312" w:eastAsia="楷体_GB2312" w:cs="楷体_GB2312"/>
          <w:b/>
          <w:bCs/>
          <w:color w:val="000000"/>
          <w:kern w:val="0"/>
          <w:sz w:val="32"/>
          <w:szCs w:val="32"/>
          <w:shd w:val="clear" w:color="auto" w:fill="FFFFFF"/>
          <w:lang w:val="en-US" w:eastAsia="zh-CN"/>
        </w:rPr>
      </w:pPr>
      <w:r>
        <w:rPr>
          <w:rFonts w:hint="eastAsia" w:ascii="楷体_GB2312" w:hAnsi="楷体_GB2312" w:eastAsia="楷体_GB2312" w:cs="楷体_GB2312"/>
          <w:b/>
          <w:bCs/>
          <w:color w:val="000000"/>
          <w:kern w:val="0"/>
          <w:sz w:val="32"/>
          <w:szCs w:val="32"/>
          <w:shd w:val="clear" w:color="auto" w:fill="FFFFFF"/>
          <w:lang w:val="en-US" w:eastAsia="zh-CN"/>
        </w:rPr>
        <w:t>（二）机构职能。</w:t>
      </w:r>
      <w:r>
        <w:rPr>
          <w:rFonts w:hint="eastAsia" w:ascii="仿宋_GB2312" w:hAnsi="仿宋_GB2312" w:eastAsia="仿宋_GB2312" w:cs="仿宋_GB2312"/>
          <w:b/>
          <w:bCs/>
          <w:sz w:val="32"/>
          <w:szCs w:val="32"/>
          <w:lang w:val="en-US" w:eastAsia="zh-CN"/>
        </w:rPr>
        <w:t>承办</w:t>
      </w:r>
      <w:r>
        <w:rPr>
          <w:rFonts w:hint="eastAsia" w:ascii="仿宋_GB2312" w:hAnsi="仿宋_GB2312" w:eastAsia="仿宋_GB2312" w:cs="仿宋_GB2312"/>
          <w:b/>
          <w:bCs/>
          <w:sz w:val="32"/>
          <w:szCs w:val="32"/>
        </w:rPr>
        <w:t>书记市长信箱信件批转、办理，依法处理群众诉求，回复群众咨询、意见和建议，及日常管理维护等事务工作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负责</w:t>
      </w:r>
      <w:r>
        <w:rPr>
          <w:rFonts w:hint="eastAsia" w:ascii="仿宋_GB2312" w:hAnsi="仿宋_GB2312" w:eastAsia="仿宋_GB2312" w:cs="仿宋_GB2312"/>
          <w:b/>
          <w:bCs/>
          <w:sz w:val="32"/>
          <w:szCs w:val="32"/>
        </w:rPr>
        <w:t>信访法规宣传，参与进京到省上访、跨区域信访等特殊群体人员信访法制教育工作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开展对</w:t>
      </w:r>
      <w:r>
        <w:rPr>
          <w:rFonts w:hint="eastAsia" w:ascii="仿宋_GB2312" w:hAnsi="仿宋_GB2312" w:eastAsia="仿宋_GB2312" w:cs="仿宋_GB2312"/>
          <w:b/>
          <w:bCs/>
          <w:sz w:val="32"/>
          <w:szCs w:val="32"/>
          <w:lang w:eastAsia="zh-CN"/>
        </w:rPr>
        <w:t>困难信访群众的帮扶、救助等工作。</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（三）人员概况。</w:t>
      </w:r>
      <w:r>
        <w:rPr>
          <w:rStyle w:val="26"/>
          <w:rFonts w:hint="eastAsia" w:ascii="仿宋_GB2312" w:hAnsi="仿宋_GB2312" w:eastAsia="仿宋_GB2312" w:cs="仿宋_GB2312"/>
          <w:b/>
          <w:bCs/>
          <w:lang w:val="en-US" w:eastAsia="zh-CN" w:bidi="ar-SA"/>
        </w:rPr>
        <w:t>市群众工作中心为市群众工作中心直属事业单位，局机关核定事业编制12名，领导正职1名，现有在职干部实有人数11名。</w:t>
      </w:r>
    </w:p>
    <w:p>
      <w:pPr>
        <w:pageBreakBefore w:val="0"/>
        <w:widowControl/>
        <w:kinsoku/>
        <w:wordWrap/>
        <w:overflowPunct/>
        <w:topLinePunct w:val="0"/>
        <w:bidi w:val="0"/>
        <w:adjustRightInd w:val="0"/>
        <w:snapToGrid w:val="0"/>
        <w:spacing w:line="576" w:lineRule="exact"/>
        <w:ind w:firstLine="642"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二、部门财政资金收支情况</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（一）部门财政资金收入情况。</w:t>
      </w:r>
      <w:r>
        <w:rPr>
          <w:rStyle w:val="26"/>
          <w:rFonts w:hint="eastAsia" w:ascii="仿宋_GB2312" w:hAnsi="仿宋_GB2312" w:eastAsia="仿宋_GB2312" w:cs="仿宋_GB2312"/>
          <w:b/>
          <w:bCs/>
          <w:lang w:val="en-US" w:eastAsia="zh-CN" w:bidi="ar-SA"/>
        </w:rPr>
        <w:t>2020年财政拨款收入120.99万元，一般公共服务支出收入102.45万元，社会保障和就业支出收入7.35元，卫生健康支出收入3.13万元，住房保障支出收入8.06万元。</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eastAsia" w:ascii="仿宋_GB2312" w:hAnsi="仿宋_GB2312" w:eastAsia="仿宋_GB2312" w:cs="仿宋_GB2312"/>
          <w:b/>
          <w:bCs/>
          <w:lang w:val="en-US" w:eastAsia="zh-CN" w:bidi="ar-SA"/>
        </w:rPr>
      </w:pPr>
      <w:r>
        <w:rPr>
          <w:rFonts w:hint="eastAsia" w:ascii="楷体_GB2312" w:hAnsi="楷体_GB2312" w:eastAsia="楷体_GB2312" w:cs="楷体_GB2312"/>
          <w:b/>
          <w:bCs/>
          <w:color w:val="000000"/>
          <w:kern w:val="0"/>
          <w:sz w:val="32"/>
          <w:szCs w:val="32"/>
          <w:shd w:val="clear" w:color="auto" w:fill="FFFFFF"/>
          <w:lang w:val="en-US" w:eastAsia="zh-CN"/>
        </w:rPr>
        <w:t>（二）部门财政资金支出情况。2020</w:t>
      </w:r>
      <w:r>
        <w:rPr>
          <w:rStyle w:val="26"/>
          <w:rFonts w:hint="eastAsia" w:ascii="仿宋_GB2312" w:hAnsi="仿宋_GB2312" w:eastAsia="仿宋_GB2312" w:cs="仿宋_GB2312"/>
          <w:b/>
          <w:bCs/>
          <w:lang w:val="en-US" w:eastAsia="zh-CN" w:bidi="ar-SA"/>
        </w:rPr>
        <w:t>年总支出为167.01万元，其中基本支出136.52万元。项目支出30.49万元。</w:t>
      </w:r>
    </w:p>
    <w:p>
      <w:pPr>
        <w:pageBreakBefore w:val="0"/>
        <w:widowControl/>
        <w:kinsoku/>
        <w:wordWrap/>
        <w:overflowPunct/>
        <w:topLinePunct w:val="0"/>
        <w:bidi w:val="0"/>
        <w:adjustRightInd w:val="0"/>
        <w:snapToGrid w:val="0"/>
        <w:spacing w:line="576" w:lineRule="exact"/>
        <w:ind w:firstLine="642"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三、部门整体预算绩效管理情况</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楷体_GB2312" w:hAnsi="楷体_GB2312" w:eastAsia="楷体_GB2312" w:cs="楷体_GB2312"/>
          <w:b/>
          <w:bCs/>
          <w:color w:val="000000"/>
          <w:kern w:val="0"/>
          <w:sz w:val="32"/>
          <w:szCs w:val="32"/>
          <w:shd w:val="clear" w:color="auto" w:fill="FFFFFF"/>
          <w:lang w:val="zh-CN"/>
        </w:rPr>
      </w:pPr>
      <w:r>
        <w:rPr>
          <w:rFonts w:hint="eastAsia" w:ascii="楷体_GB2312" w:hAnsi="楷体_GB2312" w:eastAsia="楷体_GB2312" w:cs="楷体_GB2312"/>
          <w:b/>
          <w:bCs/>
          <w:color w:val="000000"/>
          <w:kern w:val="0"/>
          <w:sz w:val="32"/>
          <w:szCs w:val="32"/>
          <w:shd w:val="clear" w:color="auto" w:fill="FFFFFF"/>
          <w:lang w:val="zh-CN"/>
        </w:rPr>
        <w:t>（一）部门预算管理。</w:t>
      </w:r>
    </w:p>
    <w:p>
      <w:pPr>
        <w:pageBreakBefore w:val="0"/>
        <w:kinsoku/>
        <w:wordWrap/>
        <w:overflowPunct/>
        <w:topLinePunct w:val="0"/>
        <w:bidi w:val="0"/>
        <w:spacing w:line="576" w:lineRule="exact"/>
        <w:ind w:firstLine="642" w:firstLineChars="200"/>
        <w:rPr>
          <w:rStyle w:val="26"/>
          <w:rFonts w:hint="eastAsia"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1、预算编制情况。严格按照预算管理的相关规定和水机部门预算编制要求，预算管理遵循依据充分、程序规范、项目细化、勤俭节约、讲求绩效、收支平衡的原则，按期完成年度预算编报工作。部门绩效目标指向明确、细化量化、合理可行，与本部门职责和年度工作重点相符。年度绩效目标均已实现，与预期相符。</w:t>
      </w:r>
    </w:p>
    <w:p>
      <w:pPr>
        <w:pStyle w:val="2"/>
        <w:pageBreakBefore w:val="0"/>
        <w:kinsoku/>
        <w:wordWrap/>
        <w:overflowPunct/>
        <w:topLinePunct w:val="0"/>
        <w:bidi w:val="0"/>
        <w:spacing w:line="576" w:lineRule="exact"/>
        <w:rPr>
          <w:rStyle w:val="26"/>
          <w:rFonts w:hint="default"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 xml:space="preserve">    2、预算执行。依据批复的预算及设定的目标，对预算资金执行进度、绩效目标实现程度和预算项目实施进程等进行跟踪管理，确保了预算执行进度和资金管理效益。</w:t>
      </w:r>
    </w:p>
    <w:p>
      <w:pPr>
        <w:pStyle w:val="2"/>
        <w:pageBreakBefore w:val="0"/>
        <w:kinsoku/>
        <w:wordWrap/>
        <w:overflowPunct/>
        <w:topLinePunct w:val="0"/>
        <w:bidi w:val="0"/>
        <w:spacing w:line="576" w:lineRule="exact"/>
        <w:ind w:firstLine="642" w:firstLineChars="200"/>
        <w:rPr>
          <w:rStyle w:val="26"/>
          <w:rFonts w:hint="default" w:ascii="仿宋_GB2312" w:hAnsi="仿宋_GB2312" w:eastAsia="仿宋_GB2312" w:cs="仿宋_GB2312"/>
          <w:b/>
          <w:bCs/>
          <w:lang w:val="en-US" w:eastAsia="zh-CN" w:bidi="ar-SA"/>
        </w:rPr>
      </w:pPr>
      <w:r>
        <w:rPr>
          <w:rStyle w:val="26"/>
          <w:rFonts w:hint="eastAsia" w:ascii="仿宋_GB2312" w:hAnsi="仿宋_GB2312" w:eastAsia="仿宋_GB2312" w:cs="仿宋_GB2312"/>
          <w:b/>
          <w:bCs/>
          <w:lang w:val="en-US" w:eastAsia="zh-CN" w:bidi="ar-SA"/>
        </w:rPr>
        <w:t>3、完成结果。市群众工作中心20</w:t>
      </w:r>
      <w:r>
        <w:rPr>
          <w:rStyle w:val="26"/>
          <w:rFonts w:hint="eastAsia" w:hAnsi="仿宋_GB2312" w:cs="仿宋_GB2312"/>
          <w:b/>
          <w:bCs/>
          <w:lang w:val="en-US" w:eastAsia="zh-CN" w:bidi="ar-SA"/>
        </w:rPr>
        <w:t>20</w:t>
      </w:r>
      <w:r>
        <w:rPr>
          <w:rStyle w:val="26"/>
          <w:rFonts w:hint="eastAsia" w:ascii="仿宋_GB2312" w:hAnsi="仿宋_GB2312" w:eastAsia="仿宋_GB2312" w:cs="仿宋_GB2312"/>
          <w:b/>
          <w:bCs/>
          <w:lang w:val="en-US" w:eastAsia="zh-CN" w:bidi="ar-SA"/>
        </w:rPr>
        <w:t>年度预算执行率为</w:t>
      </w:r>
      <w:r>
        <w:rPr>
          <w:rStyle w:val="26"/>
          <w:rFonts w:hint="eastAsia" w:hAnsi="仿宋_GB2312" w:cs="仿宋_GB2312"/>
          <w:b/>
          <w:bCs/>
          <w:lang w:val="en-US" w:eastAsia="zh-CN" w:bidi="ar-SA"/>
        </w:rPr>
        <w:t>99.73</w:t>
      </w:r>
      <w:r>
        <w:rPr>
          <w:rStyle w:val="26"/>
          <w:rFonts w:hint="eastAsia" w:ascii="仿宋_GB2312" w:hAnsi="仿宋_GB2312" w:eastAsia="仿宋_GB2312" w:cs="仿宋_GB2312"/>
          <w:b/>
          <w:bCs/>
          <w:lang w:val="en-US" w:eastAsia="zh-CN" w:bidi="ar-SA"/>
        </w:rPr>
        <w:t>%，预算经费在保障机关有序运行方面发挥了重要作用，全年未发生违规行为。</w:t>
      </w:r>
    </w:p>
    <w:p>
      <w:pPr>
        <w:pageBreakBefore w:val="0"/>
        <w:widowControl/>
        <w:kinsoku/>
        <w:wordWrap/>
        <w:overflowPunct/>
        <w:topLinePunct w:val="0"/>
        <w:bidi w:val="0"/>
        <w:adjustRightInd w:val="0"/>
        <w:snapToGrid w:val="0"/>
        <w:spacing w:line="576" w:lineRule="exact"/>
        <w:ind w:firstLine="642" w:firstLineChars="200"/>
        <w:contextualSpacing/>
        <w:jc w:val="left"/>
        <w:rPr>
          <w:rStyle w:val="26"/>
          <w:rFonts w:hint="default" w:ascii="仿宋_GB2312" w:hAnsi="仿宋_GB2312" w:eastAsia="仿宋_GB2312" w:cs="仿宋_GB2312"/>
          <w:b/>
          <w:bCs/>
          <w:lang w:val="en-US" w:eastAsia="zh-CN" w:bidi="ar-SA"/>
        </w:rPr>
      </w:pPr>
      <w:r>
        <w:rPr>
          <w:rFonts w:hint="eastAsia" w:ascii="楷体_GB2312" w:hAnsi="宋体" w:eastAsia="楷体_GB2312" w:cs="Times New Roman"/>
          <w:b/>
          <w:bCs/>
          <w:sz w:val="32"/>
          <w:szCs w:val="32"/>
          <w:lang w:val="zh-CN"/>
        </w:rPr>
        <w:t>（二）结果应用情况。</w:t>
      </w:r>
      <w:r>
        <w:rPr>
          <w:rStyle w:val="26"/>
          <w:rFonts w:hint="eastAsia" w:ascii="仿宋_GB2312" w:hAnsi="仿宋_GB2312" w:eastAsia="仿宋_GB2312" w:cs="仿宋_GB2312"/>
          <w:b/>
          <w:bCs/>
          <w:lang w:val="en-US" w:eastAsia="zh-CN" w:bidi="ar-SA"/>
        </w:rPr>
        <w:t>2020年市群众工作中心在预算编制、报送及时合规，机关节能降效明显，重要信息按要求公开，市政府绩效管理考核结果良好，预算经费在保障机关有序运行等方面发挥了重要作用。</w:t>
      </w:r>
    </w:p>
    <w:p>
      <w:pPr>
        <w:pageBreakBefore w:val="0"/>
        <w:widowControl/>
        <w:kinsoku/>
        <w:wordWrap/>
        <w:overflowPunct/>
        <w:topLinePunct w:val="0"/>
        <w:bidi w:val="0"/>
        <w:adjustRightInd w:val="0"/>
        <w:snapToGrid w:val="0"/>
        <w:spacing w:line="576" w:lineRule="exact"/>
        <w:ind w:firstLine="642" w:firstLineChars="200"/>
        <w:contextualSpacing/>
        <w:jc w:val="left"/>
        <w:rPr>
          <w:rFonts w:ascii="黑体" w:hAnsi="宋体" w:eastAsia="黑体" w:cs="宋体"/>
          <w:b/>
          <w:bCs/>
          <w:color w:val="000000"/>
          <w:kern w:val="0"/>
          <w:sz w:val="32"/>
          <w:szCs w:val="32"/>
          <w:shd w:val="clear" w:color="auto" w:fill="FFFFFF"/>
        </w:rPr>
      </w:pPr>
      <w:r>
        <w:rPr>
          <w:rFonts w:hint="eastAsia" w:ascii="黑体" w:hAnsi="宋体" w:eastAsia="黑体" w:cs="宋体"/>
          <w:b/>
          <w:bCs/>
          <w:color w:val="000000"/>
          <w:kern w:val="0"/>
          <w:sz w:val="32"/>
          <w:szCs w:val="32"/>
          <w:shd w:val="clear" w:color="auto" w:fill="FFFFFF"/>
        </w:rPr>
        <w:t>四、评价结论及建议</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default" w:ascii="仿宋_GB2312" w:hAnsi="宋体" w:eastAsia="仿宋_GB2312" w:cs="宋体"/>
          <w:b/>
          <w:bCs/>
          <w:color w:val="000000"/>
          <w:kern w:val="0"/>
          <w:sz w:val="32"/>
          <w:szCs w:val="32"/>
          <w:shd w:val="clear" w:color="auto" w:fill="FFFFFF"/>
          <w:lang w:val="en-US" w:eastAsia="zh-CN" w:bidi="ar-SA"/>
        </w:rPr>
      </w:pPr>
      <w:r>
        <w:rPr>
          <w:rFonts w:hint="eastAsia" w:ascii="楷体_GB2312" w:hAnsi="宋体" w:eastAsia="楷体_GB2312" w:cs="Times New Roman"/>
          <w:b/>
          <w:bCs/>
          <w:sz w:val="32"/>
          <w:szCs w:val="32"/>
          <w:lang w:val="zh-CN"/>
        </w:rPr>
        <w:t>（一）评价结论</w:t>
      </w:r>
      <w:r>
        <w:rPr>
          <w:rFonts w:hint="eastAsia" w:ascii="楷体_GB2312" w:hAnsi="宋体" w:eastAsia="楷体_GB2312" w:cs="Times New Roman"/>
          <w:b/>
          <w:bCs/>
          <w:sz w:val="32"/>
          <w:szCs w:val="32"/>
          <w:lang w:val="zh-CN" w:eastAsia="zh-CN"/>
        </w:rPr>
        <w:t>。</w:t>
      </w:r>
      <w:r>
        <w:rPr>
          <w:rFonts w:hint="eastAsia" w:ascii="仿宋_GB2312" w:hAnsi="宋体" w:eastAsia="仿宋_GB2312" w:cs="宋体"/>
          <w:b/>
          <w:bCs/>
          <w:color w:val="000000"/>
          <w:kern w:val="0"/>
          <w:sz w:val="32"/>
          <w:szCs w:val="32"/>
          <w:shd w:val="clear" w:color="auto" w:fill="FFFFFF"/>
          <w:lang w:val="en-US" w:eastAsia="zh-CN" w:bidi="ar-SA"/>
        </w:rPr>
        <w:t>2020年，我中心经费保障能力不断提高，经费使用效果科学合理，财务管理规范有序，全面保障和促进了我局依法履职。</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仿宋_GB2312" w:hAnsi="宋体" w:eastAsia="仿宋_GB2312" w:cs="宋体"/>
          <w:b/>
          <w:bCs/>
          <w:color w:val="000000"/>
          <w:kern w:val="0"/>
          <w:sz w:val="32"/>
          <w:szCs w:val="32"/>
          <w:shd w:val="clear" w:color="auto" w:fill="FFFFFF"/>
          <w:lang w:val="zh-CN" w:eastAsia="zh-CN" w:bidi="ar-SA"/>
        </w:rPr>
      </w:pPr>
      <w:r>
        <w:rPr>
          <w:rFonts w:hint="eastAsia" w:ascii="楷体_GB2312" w:hAnsi="宋体" w:eastAsia="楷体_GB2312" w:cs="Times New Roman"/>
          <w:b/>
          <w:bCs/>
          <w:sz w:val="32"/>
          <w:szCs w:val="32"/>
          <w:lang w:val="zh-CN"/>
        </w:rPr>
        <w:t>（二）存在问题。</w:t>
      </w:r>
      <w:r>
        <w:rPr>
          <w:rFonts w:hint="eastAsia" w:ascii="仿宋_GB2312" w:hAnsi="宋体" w:eastAsia="仿宋_GB2312" w:cs="宋体"/>
          <w:b/>
          <w:bCs/>
          <w:color w:val="000000"/>
          <w:kern w:val="0"/>
          <w:sz w:val="32"/>
          <w:szCs w:val="32"/>
          <w:shd w:val="clear" w:color="auto" w:fill="FFFFFF"/>
          <w:lang w:val="zh-CN" w:eastAsia="zh-CN" w:bidi="ar-SA"/>
        </w:rPr>
        <w:t>部分经费及未能在当年实施完毕，形成年末结转和结余。</w:t>
      </w:r>
    </w:p>
    <w:p>
      <w:pPr>
        <w:pageBreakBefore w:val="0"/>
        <w:widowControl/>
        <w:kinsoku/>
        <w:wordWrap/>
        <w:overflowPunct/>
        <w:topLinePunct w:val="0"/>
        <w:bidi w:val="0"/>
        <w:adjustRightInd w:val="0"/>
        <w:snapToGrid w:val="0"/>
        <w:spacing w:line="576" w:lineRule="exact"/>
        <w:ind w:firstLine="642" w:firstLineChars="200"/>
        <w:contextualSpacing/>
        <w:jc w:val="left"/>
        <w:rPr>
          <w:rFonts w:hint="eastAsia" w:ascii="仿宋_GB2312" w:hAnsi="宋体" w:eastAsia="仿宋_GB2312" w:cs="宋体"/>
          <w:b/>
          <w:bCs/>
          <w:kern w:val="0"/>
          <w:sz w:val="32"/>
          <w:szCs w:val="32"/>
          <w:lang w:val="en-US" w:eastAsia="zh-CN"/>
        </w:rPr>
      </w:pPr>
      <w:r>
        <w:rPr>
          <w:rFonts w:hint="eastAsia" w:ascii="楷体_GB2312" w:hAnsi="宋体" w:eastAsia="楷体_GB2312" w:cs="Times New Roman"/>
          <w:b/>
          <w:bCs/>
          <w:sz w:val="32"/>
          <w:szCs w:val="32"/>
          <w:lang w:val="zh-CN"/>
        </w:rPr>
        <w:t>（三）改进建议。</w:t>
      </w:r>
      <w:r>
        <w:rPr>
          <w:rFonts w:hint="eastAsia" w:ascii="仿宋_GB2312" w:hAnsi="Times New Roman" w:eastAsia="仿宋_GB2312" w:cs="Times New Roman"/>
          <w:b/>
          <w:bCs/>
          <w:kern w:val="0"/>
          <w:sz w:val="30"/>
          <w:szCs w:val="24"/>
          <w:lang w:val="en-US" w:eastAsia="zh-CN" w:bidi="ar-SA"/>
        </w:rPr>
        <w:t>一是按期按时执行预算，建立科学的执行进度；二是制定和完善基本支出、项目支出等各项支出标准。三是切实提高部门预算收支管理水平，尽可能地做到决算与预算相衔接。</w:t>
      </w:r>
    </w:p>
    <w:p>
      <w:pPr>
        <w:pStyle w:val="2"/>
        <w:pageBreakBefore w:val="0"/>
        <w:numPr>
          <w:ilvl w:val="0"/>
          <w:numId w:val="0"/>
        </w:numPr>
        <w:kinsoku/>
        <w:wordWrap/>
        <w:overflowPunct/>
        <w:topLinePunct w:val="0"/>
        <w:bidi w:val="0"/>
        <w:spacing w:line="576" w:lineRule="exact"/>
        <w:rPr>
          <w:rFonts w:hint="default" w:eastAsia="仿宋_GB2312"/>
          <w:b/>
          <w:bCs/>
          <w:lang w:val="en-US" w:eastAsia="zh-CN"/>
        </w:rPr>
      </w:pP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Style w:val="2"/>
        <w:pageBreakBefore w:val="0"/>
        <w:kinsoku/>
        <w:wordWrap/>
        <w:overflowPunct/>
        <w:topLinePunct w:val="0"/>
        <w:bidi w:val="0"/>
        <w:spacing w:line="576" w:lineRule="exact"/>
        <w:rPr>
          <w:rFonts w:ascii="仿宋_GB2312" w:hAnsi="仿宋_GB2312" w:eastAsia="仿宋_GB2312" w:cs="仿宋_GB2312"/>
          <w:b/>
          <w:bCs/>
          <w:sz w:val="32"/>
          <w:szCs w:val="32"/>
        </w:rPr>
      </w:pPr>
    </w:p>
    <w:p>
      <w:pPr>
        <w:pageBreakBefore w:val="0"/>
        <w:kinsoku/>
        <w:wordWrap/>
        <w:overflowPunct/>
        <w:topLinePunct w:val="0"/>
        <w:bidi w:val="0"/>
        <w:spacing w:line="576" w:lineRule="exact"/>
        <w:rPr>
          <w:rFonts w:hint="eastAsia" w:ascii="黑体" w:hAnsi="黑体" w:eastAsia="黑体" w:cs="黑体"/>
          <w:b/>
          <w:bCs/>
          <w:sz w:val="32"/>
          <w:szCs w:val="32"/>
        </w:rPr>
      </w:pPr>
    </w:p>
    <w:p>
      <w:pPr>
        <w:pageBreakBefore w:val="0"/>
        <w:kinsoku/>
        <w:wordWrap/>
        <w:overflowPunct/>
        <w:topLinePunct w:val="0"/>
        <w:bidi w:val="0"/>
        <w:spacing w:line="576" w:lineRule="exact"/>
        <w:rPr>
          <w:rFonts w:hint="eastAsia" w:ascii="黑体" w:hAnsi="黑体" w:eastAsia="黑体" w:cs="黑体"/>
          <w:b/>
          <w:bCs/>
          <w:sz w:val="32"/>
          <w:szCs w:val="32"/>
        </w:rPr>
      </w:pPr>
    </w:p>
    <w:p>
      <w:pPr>
        <w:pageBreakBefore w:val="0"/>
        <w:kinsoku/>
        <w:wordWrap/>
        <w:overflowPunct/>
        <w:topLinePunct w:val="0"/>
        <w:bidi w:val="0"/>
        <w:spacing w:line="576" w:lineRule="exact"/>
        <w:rPr>
          <w:rFonts w:hint="eastAsia" w:ascii="黑体" w:hAnsi="黑体" w:eastAsia="黑体" w:cs="黑体"/>
          <w:b/>
          <w:bCs/>
          <w:sz w:val="32"/>
          <w:szCs w:val="32"/>
        </w:rPr>
      </w:pPr>
    </w:p>
    <w:p>
      <w:pPr>
        <w:pageBreakBefore w:val="0"/>
        <w:kinsoku/>
        <w:wordWrap/>
        <w:overflowPunct/>
        <w:topLinePunct w:val="0"/>
        <w:bidi w:val="0"/>
        <w:spacing w:line="576" w:lineRule="exact"/>
        <w:rPr>
          <w:rFonts w:hint="eastAsia" w:ascii="黑体" w:hAnsi="黑体" w:eastAsia="黑体" w:cs="黑体"/>
          <w:b/>
          <w:bCs/>
          <w:sz w:val="32"/>
          <w:szCs w:val="32"/>
        </w:rPr>
      </w:pPr>
      <w:r>
        <w:rPr>
          <w:rFonts w:hint="eastAsia" w:ascii="黑体" w:hAnsi="黑体" w:eastAsia="黑体" w:cs="黑体"/>
          <w:b/>
          <w:bCs/>
          <w:sz w:val="32"/>
          <w:szCs w:val="32"/>
        </w:rPr>
        <w:br w:type="textWrapping"/>
      </w:r>
    </w:p>
    <w:p>
      <w:pPr>
        <w:pageBreakBefore w:val="0"/>
        <w:kinsoku/>
        <w:wordWrap/>
        <w:overflowPunct/>
        <w:topLinePunct w:val="0"/>
        <w:bidi w:val="0"/>
        <w:spacing w:line="576" w:lineRule="exact"/>
        <w:rPr>
          <w:rFonts w:ascii="仿宋_GB2312" w:hAnsi="仿宋_GB2312" w:eastAsia="仿宋_GB2312" w:cs="仿宋_GB2312"/>
          <w:b/>
          <w:bCs/>
          <w:sz w:val="32"/>
          <w:szCs w:val="32"/>
        </w:rPr>
      </w:pPr>
      <w:r>
        <w:rPr>
          <w:rFonts w:hint="eastAsia" w:ascii="黑体" w:hAnsi="黑体" w:eastAsia="黑体" w:cs="黑体"/>
          <w:b/>
          <w:bCs/>
          <w:sz w:val="32"/>
          <w:szCs w:val="32"/>
        </w:rPr>
        <w:t>附件2</w:t>
      </w:r>
    </w:p>
    <w:p>
      <w:pPr>
        <w:pageBreakBefore w:val="0"/>
        <w:kinsoku/>
        <w:wordWrap/>
        <w:overflowPunct/>
        <w:topLinePunct w:val="0"/>
        <w:bidi w:val="0"/>
        <w:spacing w:line="576" w:lineRule="exact"/>
        <w:ind w:firstLine="642" w:firstLineChars="200"/>
        <w:rPr>
          <w:rFonts w:ascii="仿宋_GB2312" w:hAnsi="仿宋_GB2312" w:eastAsia="仿宋_GB2312" w:cs="仿宋_GB2312"/>
          <w:b/>
          <w:bCs/>
          <w:sz w:val="32"/>
          <w:szCs w:val="32"/>
        </w:rPr>
      </w:pPr>
    </w:p>
    <w:p>
      <w:pPr>
        <w:pageBreakBefore w:val="0"/>
        <w:kinsoku/>
        <w:wordWrap/>
        <w:overflowPunct/>
        <w:topLinePunct w:val="0"/>
        <w:bidi w:val="0"/>
        <w:spacing w:line="576" w:lineRule="exact"/>
        <w:jc w:val="center"/>
        <w:rPr>
          <w:rFonts w:hint="eastAsia"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lang w:val="zh-CN"/>
        </w:rPr>
        <w:t>广元市群众工作中心</w:t>
      </w:r>
    </w:p>
    <w:p>
      <w:pPr>
        <w:pageBreakBefore w:val="0"/>
        <w:kinsoku/>
        <w:wordWrap/>
        <w:overflowPunct/>
        <w:topLinePunct w:val="0"/>
        <w:bidi w:val="0"/>
        <w:spacing w:line="576" w:lineRule="exact"/>
        <w:jc w:val="center"/>
        <w:rPr>
          <w:rFonts w:ascii="方正小标宋简体" w:hAnsi="宋体" w:eastAsia="方正小标宋简体"/>
          <w:b/>
          <w:bCs/>
          <w:color w:val="000000"/>
          <w:kern w:val="0"/>
          <w:sz w:val="44"/>
          <w:szCs w:val="44"/>
          <w:lang w:val="zh-CN"/>
        </w:rPr>
      </w:pPr>
      <w:r>
        <w:rPr>
          <w:rFonts w:hint="eastAsia" w:ascii="方正小标宋简体" w:hAnsi="宋体" w:eastAsia="方正小标宋简体"/>
          <w:b/>
          <w:bCs/>
          <w:color w:val="000000"/>
          <w:kern w:val="0"/>
          <w:sz w:val="44"/>
          <w:szCs w:val="44"/>
        </w:rPr>
        <w:t>20</w:t>
      </w:r>
      <w:r>
        <w:rPr>
          <w:rFonts w:hint="eastAsia" w:ascii="方正小标宋简体" w:hAnsi="宋体" w:eastAsia="方正小标宋简体"/>
          <w:b/>
          <w:bCs/>
          <w:color w:val="000000"/>
          <w:kern w:val="0"/>
          <w:sz w:val="44"/>
          <w:szCs w:val="44"/>
          <w:lang w:val="en-US" w:eastAsia="zh-CN"/>
        </w:rPr>
        <w:t>20</w:t>
      </w:r>
      <w:r>
        <w:rPr>
          <w:rFonts w:hint="eastAsia" w:ascii="方正小标宋简体" w:hAnsi="宋体" w:eastAsia="方正小标宋简体"/>
          <w:b/>
          <w:bCs/>
          <w:color w:val="000000"/>
          <w:kern w:val="0"/>
          <w:sz w:val="44"/>
          <w:szCs w:val="44"/>
        </w:rPr>
        <w:t>年</w:t>
      </w:r>
      <w:r>
        <w:rPr>
          <w:rFonts w:hint="eastAsia" w:ascii="方正小标宋简体" w:hAnsi="宋体" w:eastAsia="方正小标宋简体"/>
          <w:b/>
          <w:bCs/>
          <w:color w:val="000000"/>
          <w:kern w:val="0"/>
          <w:sz w:val="44"/>
          <w:szCs w:val="44"/>
          <w:lang w:val="zh-CN"/>
        </w:rPr>
        <w:t>项目绩效评价报告</w:t>
      </w:r>
    </w:p>
    <w:p>
      <w:pPr>
        <w:pageBreakBefore w:val="0"/>
        <w:kinsoku/>
        <w:wordWrap/>
        <w:overflowPunct/>
        <w:topLinePunct w:val="0"/>
        <w:bidi w:val="0"/>
        <w:spacing w:line="576" w:lineRule="exact"/>
        <w:rPr>
          <w:rFonts w:ascii="宋体" w:hAnsi="宋体"/>
          <w:b/>
          <w:bCs/>
          <w:sz w:val="32"/>
          <w:szCs w:val="32"/>
          <w:lang w:val="zh-CN"/>
        </w:rPr>
      </w:pP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lang w:val="zh-CN"/>
        </w:rPr>
      </w:pPr>
      <w:r>
        <w:rPr>
          <w:rFonts w:hint="eastAsia" w:ascii="黑体" w:hAnsi="宋体" w:eastAsia="黑体"/>
          <w:b/>
          <w:bCs/>
          <w:sz w:val="32"/>
          <w:szCs w:val="32"/>
        </w:rPr>
        <w:t>一、</w:t>
      </w:r>
      <w:r>
        <w:rPr>
          <w:rFonts w:hint="eastAsia" w:ascii="黑体" w:hAnsi="宋体" w:eastAsia="黑体"/>
          <w:b/>
          <w:bCs/>
          <w:sz w:val="32"/>
          <w:szCs w:val="32"/>
          <w:lang w:val="zh-CN"/>
        </w:rPr>
        <w:t>项目概况</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（一）项目基本情况。</w:t>
      </w:r>
    </w:p>
    <w:p>
      <w:pPr>
        <w:bidi w:val="0"/>
        <w:ind w:firstLine="642"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1、项目管理职能。</w:t>
      </w:r>
      <w:r>
        <w:rPr>
          <w:rFonts w:hint="eastAsia" w:ascii="仿宋_GB2312" w:hAnsi="仿宋_GB2312" w:eastAsia="仿宋_GB2312" w:cs="仿宋_GB2312"/>
          <w:b/>
          <w:bCs/>
          <w:sz w:val="32"/>
          <w:szCs w:val="32"/>
          <w:lang w:eastAsia="zh-CN"/>
        </w:rPr>
        <w:t>支付聘用人员工资；开展对困难信访人的救助救济及法律帮助。</w:t>
      </w:r>
    </w:p>
    <w:p>
      <w:pPr>
        <w:bidi w:val="0"/>
        <w:ind w:firstLine="642"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zh-CN"/>
        </w:rPr>
        <w:t>项目立项、资金申报的依据。</w:t>
      </w:r>
      <w:r>
        <w:rPr>
          <w:rFonts w:hint="eastAsia" w:ascii="仿宋_GB2312" w:hAnsi="仿宋_GB2312" w:eastAsia="仿宋_GB2312" w:cs="仿宋_GB2312"/>
          <w:b/>
          <w:bCs/>
          <w:sz w:val="32"/>
          <w:szCs w:val="32"/>
        </w:rPr>
        <w:t>中办、国办出台的《关于创新群众工作方法解决信访突出问题的意见》，健全解决信访突出问题工作机制</w:t>
      </w:r>
      <w:r>
        <w:rPr>
          <w:rFonts w:hint="eastAsia" w:ascii="仿宋_GB2312" w:hAnsi="仿宋_GB2312" w:eastAsia="仿宋_GB2312" w:cs="仿宋_GB2312"/>
          <w:b/>
          <w:bCs/>
          <w:sz w:val="32"/>
          <w:szCs w:val="32"/>
          <w:lang w:eastAsia="zh-CN"/>
        </w:rPr>
        <w:t>，处理好群众关心的热点、难点突发疑难信访问题</w:t>
      </w:r>
      <w:r>
        <w:rPr>
          <w:rFonts w:hint="eastAsia" w:ascii="仿宋_GB2312" w:hAnsi="仿宋_GB2312" w:eastAsia="仿宋_GB2312" w:cs="仿宋_GB2312"/>
          <w:b/>
          <w:bCs/>
          <w:sz w:val="32"/>
          <w:szCs w:val="32"/>
        </w:rPr>
        <w:t>。</w:t>
      </w:r>
    </w:p>
    <w:p>
      <w:pPr>
        <w:bidi w:val="0"/>
        <w:ind w:firstLine="642" w:firstLineChars="200"/>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3．资金管理办法制定情况，资金支持具体项目的条件、范围与支持方式概况。信访人反映问题有一定合法性，且发生生活困难，无法通过法律途径获得赔偿，其他社会救助也难以落实，通过实施信访救助，能够达到息诉息访。</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（二）项目绩效目标。</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1．项目主要内容。一是机关事务；二是专项服务。</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rPr>
      </w:pPr>
      <w:r>
        <w:rPr>
          <w:rFonts w:hint="eastAsia" w:ascii="仿宋_GB2312" w:hAnsi="宋体" w:eastAsia="仿宋_GB2312"/>
          <w:b/>
          <w:bCs/>
          <w:sz w:val="32"/>
          <w:szCs w:val="32"/>
          <w:lang w:val="zh-CN"/>
        </w:rPr>
        <w:t>2．项目应实现的具体绩效目标。一是支付聘用人员工资、社保等；二是对困难信访群众实施帮扶救助。</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3．分析评价申报内容与实际相符，申报目标是合理可行。</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b/>
          <w:bCs/>
          <w:sz w:val="32"/>
          <w:szCs w:val="32"/>
          <w:lang w:val="zh-CN"/>
        </w:rPr>
      </w:pPr>
      <w:r>
        <w:rPr>
          <w:rFonts w:hint="eastAsia" w:ascii="楷体_GB2312" w:hAnsi="宋体" w:eastAsia="楷体_GB2312"/>
          <w:b/>
          <w:bCs/>
          <w:sz w:val="32"/>
          <w:szCs w:val="32"/>
          <w:lang w:val="zh-CN"/>
        </w:rPr>
        <w:t>（三）项目自评步骤及方法。</w:t>
      </w:r>
      <w:r>
        <w:rPr>
          <w:rFonts w:hint="eastAsia" w:ascii="仿宋_GB2312" w:hAnsi="宋体" w:eastAsia="仿宋_GB2312" w:cs="Times New Roman"/>
          <w:b/>
          <w:bCs/>
          <w:sz w:val="32"/>
          <w:szCs w:val="32"/>
          <w:lang w:val="zh-CN"/>
        </w:rPr>
        <w:t>由涉及相</w:t>
      </w:r>
      <w:r>
        <w:rPr>
          <w:rFonts w:hint="eastAsia" w:ascii="仿宋_GB2312" w:hAnsi="宋体" w:eastAsia="仿宋_GB2312"/>
          <w:b/>
          <w:bCs/>
          <w:sz w:val="32"/>
          <w:szCs w:val="32"/>
          <w:lang w:val="zh-CN"/>
        </w:rPr>
        <w:t>关科室自评，局班子组织审评。</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二、项目资金申报及使用情况</w:t>
      </w:r>
    </w:p>
    <w:p>
      <w:pPr>
        <w:pageBreakBefore w:val="0"/>
        <w:kinsoku/>
        <w:wordWrap/>
        <w:overflowPunct/>
        <w:topLinePunct w:val="0"/>
        <w:bidi w:val="0"/>
        <w:adjustRightInd w:val="0"/>
        <w:snapToGrid w:val="0"/>
        <w:spacing w:line="576" w:lineRule="exact"/>
        <w:ind w:firstLine="720"/>
        <w:rPr>
          <w:rFonts w:hint="default" w:ascii="仿宋_GB2312" w:hAnsi="宋体" w:eastAsia="仿宋_GB2312"/>
          <w:b/>
          <w:bCs/>
          <w:sz w:val="32"/>
          <w:szCs w:val="32"/>
          <w:lang w:val="en-US" w:eastAsia="zh-CN"/>
        </w:rPr>
      </w:pPr>
      <w:r>
        <w:rPr>
          <w:rFonts w:hint="eastAsia" w:ascii="楷体_GB2312" w:hAnsi="宋体" w:eastAsia="楷体_GB2312"/>
          <w:b/>
          <w:bCs/>
          <w:sz w:val="32"/>
          <w:szCs w:val="32"/>
          <w:lang w:val="zh-CN"/>
        </w:rPr>
        <w:t>（一）项目资金申报及批复情况。</w:t>
      </w:r>
      <w:r>
        <w:rPr>
          <w:rFonts w:hint="eastAsia" w:ascii="仿宋_GB2312" w:hAnsi="宋体" w:eastAsia="仿宋_GB2312"/>
          <w:b/>
          <w:bCs/>
          <w:sz w:val="32"/>
          <w:szCs w:val="32"/>
          <w:lang w:val="zh-CN"/>
        </w:rPr>
        <w:t>项目资金申报</w:t>
      </w:r>
      <w:r>
        <w:rPr>
          <w:rFonts w:hint="eastAsia" w:ascii="仿宋_GB2312" w:hAnsi="宋体" w:eastAsia="仿宋_GB2312"/>
          <w:b/>
          <w:bCs/>
          <w:sz w:val="32"/>
          <w:szCs w:val="32"/>
          <w:lang w:val="en-US" w:eastAsia="zh-CN"/>
        </w:rPr>
        <w:t>30.50万元，财政</w:t>
      </w:r>
      <w:r>
        <w:rPr>
          <w:rFonts w:hint="eastAsia" w:ascii="仿宋_GB2312" w:hAnsi="宋体" w:eastAsia="仿宋_GB2312"/>
          <w:b/>
          <w:bCs/>
          <w:sz w:val="32"/>
          <w:szCs w:val="32"/>
          <w:lang w:val="zh-CN"/>
        </w:rPr>
        <w:t>批复</w:t>
      </w:r>
      <w:r>
        <w:rPr>
          <w:rFonts w:hint="eastAsia" w:ascii="仿宋_GB2312" w:hAnsi="宋体" w:eastAsia="仿宋_GB2312"/>
          <w:b/>
          <w:bCs/>
          <w:sz w:val="32"/>
          <w:szCs w:val="32"/>
          <w:lang w:val="en-US" w:eastAsia="zh-CN"/>
        </w:rPr>
        <w:t>30.50万元。</w:t>
      </w:r>
    </w:p>
    <w:p>
      <w:pPr>
        <w:pStyle w:val="2"/>
        <w:pageBreakBefore w:val="0"/>
        <w:numPr>
          <w:ilvl w:val="0"/>
          <w:numId w:val="0"/>
        </w:numPr>
        <w:kinsoku/>
        <w:wordWrap/>
        <w:overflowPunct/>
        <w:topLinePunct w:val="0"/>
        <w:bidi w:val="0"/>
        <w:spacing w:line="576" w:lineRule="exact"/>
        <w:ind w:firstLine="642" w:firstLineChars="20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（二）资金计划、到位及使用情况。</w:t>
      </w:r>
      <w:r>
        <w:rPr>
          <w:rFonts w:hint="eastAsia"/>
          <w:b/>
          <w:bCs/>
          <w:lang w:val="zh-CN"/>
        </w:rPr>
        <w:t>项目执行过程中，严格遵守相关法律法规和信访工作条例，项目基础业务信息资料齐全并及时归档，项目实施的人员条件、信息支撑等落实到位。</w:t>
      </w:r>
    </w:p>
    <w:tbl>
      <w:tblPr>
        <w:tblStyle w:val="13"/>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9"/>
        <w:gridCol w:w="2709"/>
        <w:gridCol w:w="2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en-US" w:eastAsia="zh-CN"/>
              </w:rPr>
              <w:t>财政拨款</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来源渠道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资金计划</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zh-CN"/>
              </w:rPr>
            </w:pPr>
            <w:r>
              <w:rPr>
                <w:rFonts w:hint="eastAsia" w:ascii="仿宋_GB2312" w:hAnsi="宋体" w:eastAsia="仿宋_GB2312"/>
                <w:b/>
                <w:bCs/>
                <w:sz w:val="32"/>
                <w:szCs w:val="32"/>
                <w:lang w:val="en-US" w:eastAsia="zh-CN"/>
              </w:rPr>
              <w:t>30.50</w:t>
            </w:r>
            <w:r>
              <w:rPr>
                <w:rFonts w:hint="eastAsia"/>
                <w:b/>
                <w:bCs/>
                <w:vertAlign w:val="baseline"/>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b/>
                <w:bCs/>
                <w:vertAlign w:val="baseline"/>
                <w:lang w:val="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资金到位</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default"/>
                <w:b/>
                <w:bCs/>
                <w:vertAlign w:val="baseline"/>
                <w:lang w:val="en-US" w:eastAsia="zh-CN"/>
              </w:rPr>
            </w:pPr>
            <w:r>
              <w:rPr>
                <w:rFonts w:hint="eastAsia" w:ascii="仿宋_GB2312" w:hAnsi="宋体" w:eastAsia="仿宋_GB2312"/>
                <w:b/>
                <w:bCs/>
                <w:sz w:val="32"/>
                <w:szCs w:val="32"/>
                <w:lang w:val="en-US" w:eastAsia="zh-CN"/>
              </w:rPr>
              <w:t>30.50</w:t>
            </w:r>
            <w:r>
              <w:rPr>
                <w:rFonts w:hint="eastAsia"/>
                <w:b/>
                <w:bCs/>
                <w:vertAlign w:val="baseline"/>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default" w:eastAsia="仿宋_GB2312"/>
                <w:b/>
                <w:bCs/>
                <w:vertAlign w:val="baseline"/>
                <w:lang w:val="en-US" w:eastAsia="zh-CN"/>
              </w:rPr>
            </w:pPr>
            <w:r>
              <w:rPr>
                <w:rFonts w:hint="eastAsia"/>
                <w:b/>
                <w:bCs/>
                <w:vertAlign w:val="baseline"/>
                <w:lang w:val="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05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资金使用</w:t>
            </w:r>
          </w:p>
        </w:tc>
        <w:tc>
          <w:tcPr>
            <w:tcW w:w="2709"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ascii="仿宋_GB2312" w:hAnsi="宋体" w:eastAsia="仿宋_GB2312"/>
                <w:b/>
                <w:bCs/>
                <w:sz w:val="32"/>
                <w:szCs w:val="32"/>
                <w:lang w:val="en-US" w:eastAsia="zh-CN"/>
              </w:rPr>
              <w:t>30.</w:t>
            </w:r>
            <w:r>
              <w:rPr>
                <w:rFonts w:hint="eastAsia" w:hAnsi="宋体"/>
                <w:b/>
                <w:bCs/>
                <w:sz w:val="32"/>
                <w:szCs w:val="32"/>
                <w:lang w:val="en-US" w:eastAsia="zh-CN"/>
              </w:rPr>
              <w:t>49</w:t>
            </w:r>
            <w:r>
              <w:rPr>
                <w:rFonts w:hint="eastAsia"/>
                <w:b/>
                <w:bCs/>
                <w:vertAlign w:val="baseline"/>
                <w:lang w:val="en-US" w:eastAsia="zh-CN"/>
              </w:rPr>
              <w:t>万元</w:t>
            </w:r>
          </w:p>
        </w:tc>
        <w:tc>
          <w:tcPr>
            <w:tcW w:w="2891" w:type="dxa"/>
            <w:vAlign w:val="center"/>
          </w:tcPr>
          <w:p>
            <w:pPr>
              <w:pStyle w:val="2"/>
              <w:pageBreakBefore w:val="0"/>
              <w:numPr>
                <w:ilvl w:val="0"/>
                <w:numId w:val="0"/>
              </w:numPr>
              <w:kinsoku/>
              <w:wordWrap/>
              <w:overflowPunct/>
              <w:topLinePunct w:val="0"/>
              <w:bidi w:val="0"/>
              <w:spacing w:line="576" w:lineRule="exact"/>
              <w:jc w:val="center"/>
              <w:rPr>
                <w:rFonts w:hint="eastAsia"/>
                <w:b/>
                <w:bCs/>
                <w:vertAlign w:val="baseline"/>
                <w:lang w:val="en-US" w:eastAsia="zh-CN"/>
              </w:rPr>
            </w:pPr>
            <w:r>
              <w:rPr>
                <w:rFonts w:hint="eastAsia"/>
                <w:b/>
                <w:bCs/>
                <w:vertAlign w:val="baseline"/>
                <w:lang w:val="zh-CN"/>
              </w:rPr>
              <w:t>财政拨款</w:t>
            </w:r>
          </w:p>
        </w:tc>
      </w:tr>
    </w:tbl>
    <w:p>
      <w:pPr>
        <w:pageBreakBefore w:val="0"/>
        <w:numPr>
          <w:ilvl w:val="0"/>
          <w:numId w:val="0"/>
        </w:numPr>
        <w:kinsoku/>
        <w:wordWrap/>
        <w:overflowPunct/>
        <w:topLinePunct w:val="0"/>
        <w:bidi w:val="0"/>
        <w:adjustRightInd w:val="0"/>
        <w:snapToGrid w:val="0"/>
        <w:spacing w:line="576" w:lineRule="exact"/>
        <w:ind w:firstLine="642" w:firstLineChars="200"/>
        <w:rPr>
          <w:rFonts w:ascii="仿宋_GB2312" w:hAnsi="宋体" w:eastAsia="仿宋_GB2312"/>
          <w:b/>
          <w:bCs/>
          <w:sz w:val="32"/>
          <w:szCs w:val="32"/>
          <w:lang w:val="zh-CN"/>
        </w:rPr>
      </w:pPr>
      <w:r>
        <w:rPr>
          <w:rFonts w:hint="eastAsia" w:ascii="楷体_GB2312" w:hAnsi="宋体" w:eastAsia="楷体_GB2312" w:cs="Times New Roman"/>
          <w:b/>
          <w:bCs/>
          <w:sz w:val="32"/>
          <w:szCs w:val="32"/>
          <w:lang w:val="zh-CN"/>
        </w:rPr>
        <w:t>（三）项目财</w:t>
      </w:r>
      <w:r>
        <w:rPr>
          <w:rFonts w:hint="eastAsia" w:ascii="楷体_GB2312" w:hAnsi="宋体" w:eastAsia="楷体_GB2312"/>
          <w:b/>
          <w:bCs/>
          <w:sz w:val="32"/>
          <w:szCs w:val="32"/>
          <w:lang w:val="zh-CN"/>
        </w:rPr>
        <w:t>务管理情况。</w:t>
      </w:r>
      <w:r>
        <w:rPr>
          <w:rFonts w:hint="eastAsia" w:ascii="仿宋_GB2312" w:hAnsi="Times New Roman" w:eastAsia="仿宋_GB2312" w:cs="Times New Roman"/>
          <w:b/>
          <w:bCs/>
          <w:kern w:val="0"/>
          <w:sz w:val="30"/>
          <w:szCs w:val="24"/>
          <w:lang w:val="en-US" w:eastAsia="zh-CN" w:bidi="ar-SA"/>
        </w:rPr>
        <w:t>严格执行财务支出的报销制度，应附与经济业务事项相关的合法合规的原始凭证和附件，必须按规定的程序审核、审批，并有具体经办人、证明人、领导审批签字，才进行支付。</w:t>
      </w:r>
    </w:p>
    <w:p>
      <w:pPr>
        <w:pageBreakBefore w:val="0"/>
        <w:kinsoku/>
        <w:wordWrap/>
        <w:overflowPunct/>
        <w:topLinePunct w:val="0"/>
        <w:bidi w:val="0"/>
        <w:adjustRightInd w:val="0"/>
        <w:snapToGrid w:val="0"/>
        <w:spacing w:line="576" w:lineRule="exact"/>
        <w:ind w:firstLine="720"/>
        <w:rPr>
          <w:rFonts w:ascii="黑体" w:hAnsi="宋体" w:eastAsia="黑体"/>
          <w:b/>
          <w:bCs/>
          <w:sz w:val="32"/>
          <w:szCs w:val="32"/>
        </w:rPr>
      </w:pPr>
      <w:r>
        <w:rPr>
          <w:rFonts w:hint="eastAsia" w:ascii="黑体" w:hAnsi="宋体" w:eastAsia="黑体"/>
          <w:b/>
          <w:bCs/>
          <w:sz w:val="32"/>
          <w:szCs w:val="32"/>
        </w:rPr>
        <w:t>三、项目实施及管理情况</w:t>
      </w:r>
    </w:p>
    <w:p>
      <w:pPr>
        <w:pStyle w:val="2"/>
        <w:pageBreakBefore w:val="0"/>
        <w:kinsoku/>
        <w:wordWrap/>
        <w:overflowPunct/>
        <w:topLinePunct w:val="0"/>
        <w:bidi w:val="0"/>
        <w:spacing w:line="576" w:lineRule="exact"/>
        <w:ind w:firstLine="642" w:firstLineChars="200"/>
        <w:rPr>
          <w:rFonts w:ascii="楷体_GB2312" w:hAnsi="宋体" w:eastAsia="楷体_GB2312"/>
          <w:b/>
          <w:bCs/>
          <w:sz w:val="32"/>
          <w:szCs w:val="32"/>
          <w:lang w:val="zh-CN"/>
        </w:rPr>
      </w:pPr>
      <w:r>
        <w:rPr>
          <w:rFonts w:hint="eastAsia" w:ascii="楷体_GB2312" w:hAnsi="宋体" w:eastAsia="楷体_GB2312"/>
          <w:b/>
          <w:bCs/>
          <w:sz w:val="32"/>
          <w:szCs w:val="32"/>
          <w:lang w:val="zh-CN"/>
        </w:rPr>
        <w:t>（一）项目组织架构及实施流程。</w:t>
      </w:r>
      <w:r>
        <w:rPr>
          <w:rFonts w:hint="eastAsia"/>
          <w:b/>
          <w:bCs/>
          <w:lang w:val="zh-CN"/>
        </w:rPr>
        <w:t>根据市委、政府信访工作统一安排，由我局根据工作需要进行确定和安排。资金分配严格按照审批流程操作执行，符合相关管理办法，分配结果公平合理。</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（二）项目管理情况。</w:t>
      </w:r>
      <w:r>
        <w:rPr>
          <w:rFonts w:hint="eastAsia" w:ascii="仿宋_GB2312" w:hAnsi="Times New Roman" w:eastAsia="仿宋_GB2312" w:cs="Times New Roman"/>
          <w:b/>
          <w:bCs/>
          <w:kern w:val="0"/>
          <w:sz w:val="30"/>
          <w:szCs w:val="24"/>
          <w:lang w:val="zh-CN" w:eastAsia="zh-CN" w:bidi="ar-SA"/>
        </w:rPr>
        <w:t>本项目资金仅限于</w:t>
      </w:r>
      <w:r>
        <w:rPr>
          <w:rFonts w:hint="eastAsia" w:ascii="仿宋_GB2312" w:eastAsia="仿宋_GB2312" w:cs="Times New Roman"/>
          <w:b/>
          <w:bCs/>
          <w:kern w:val="0"/>
          <w:sz w:val="30"/>
          <w:szCs w:val="24"/>
          <w:lang w:val="zh-CN" w:eastAsia="zh-CN" w:bidi="ar-SA"/>
        </w:rPr>
        <w:t>支付聘用人员工资、社保；对困难信访群众实施资助救助。</w:t>
      </w:r>
      <w:r>
        <w:rPr>
          <w:rFonts w:hint="eastAsia" w:ascii="仿宋_GB2312" w:hAnsi="Times New Roman" w:eastAsia="仿宋_GB2312" w:cs="Times New Roman"/>
          <w:b/>
          <w:bCs/>
          <w:kern w:val="0"/>
          <w:sz w:val="30"/>
          <w:szCs w:val="24"/>
          <w:lang w:val="zh-CN" w:eastAsia="zh-CN" w:bidi="ar-SA"/>
        </w:rPr>
        <w:t>支出依据规范，无虚列支出，无截留、挤占、挪用现象。</w:t>
      </w:r>
    </w:p>
    <w:p>
      <w:pPr>
        <w:pageBreakBefore w:val="0"/>
        <w:kinsoku/>
        <w:wordWrap/>
        <w:overflowPunct/>
        <w:topLinePunct w:val="0"/>
        <w:bidi w:val="0"/>
        <w:adjustRightInd w:val="0"/>
        <w:snapToGrid w:val="0"/>
        <w:spacing w:line="576" w:lineRule="exact"/>
        <w:ind w:firstLine="720"/>
        <w:rPr>
          <w:rFonts w:hint="eastAsia" w:ascii="仿宋_GB2312" w:hAnsi="Times New Roman" w:eastAsia="仿宋_GB2312" w:cs="Times New Roman"/>
          <w:b/>
          <w:bCs/>
          <w:kern w:val="0"/>
          <w:sz w:val="30"/>
          <w:szCs w:val="24"/>
          <w:lang w:val="zh-CN" w:eastAsia="zh-CN" w:bidi="ar-SA"/>
        </w:rPr>
      </w:pPr>
      <w:r>
        <w:rPr>
          <w:rFonts w:hint="eastAsia" w:ascii="楷体_GB2312" w:hAnsi="宋体" w:eastAsia="楷体_GB2312"/>
          <w:b/>
          <w:bCs/>
          <w:sz w:val="32"/>
          <w:szCs w:val="32"/>
          <w:lang w:val="zh-CN"/>
        </w:rPr>
        <w:t>（三）项目监管情况。</w:t>
      </w:r>
      <w:r>
        <w:rPr>
          <w:rFonts w:hint="eastAsia" w:ascii="仿宋_GB2312" w:hAnsi="Times New Roman" w:eastAsia="仿宋_GB2312" w:cs="Times New Roman"/>
          <w:b/>
          <w:bCs/>
          <w:kern w:val="0"/>
          <w:sz w:val="30"/>
          <w:szCs w:val="24"/>
          <w:lang w:val="zh-CN" w:eastAsia="zh-CN" w:bidi="ar-SA"/>
        </w:rPr>
        <w:t>内控工作小组与内部纪检员定期对项目的实施和支付情况进行审核。</w:t>
      </w:r>
    </w:p>
    <w:p>
      <w:pPr>
        <w:pageBreakBefore w:val="0"/>
        <w:kinsoku/>
        <w:wordWrap/>
        <w:overflowPunct/>
        <w:topLinePunct w:val="0"/>
        <w:bidi w:val="0"/>
        <w:adjustRightInd w:val="0"/>
        <w:snapToGrid w:val="0"/>
        <w:spacing w:line="576" w:lineRule="exact"/>
        <w:ind w:firstLine="720"/>
        <w:rPr>
          <w:rFonts w:ascii="仿宋_GB2312" w:hAnsi="宋体" w:eastAsia="仿宋_GB2312"/>
          <w:b/>
          <w:bCs/>
          <w:sz w:val="32"/>
          <w:szCs w:val="32"/>
          <w:lang w:val="zh-CN"/>
        </w:rPr>
      </w:pPr>
      <w:r>
        <w:rPr>
          <w:rFonts w:hint="eastAsia" w:ascii="黑体" w:hAnsi="宋体" w:eastAsia="黑体"/>
          <w:b/>
          <w:bCs/>
          <w:sz w:val="32"/>
          <w:szCs w:val="32"/>
        </w:rPr>
        <w:t>四、项目绩效情况</w:t>
      </w:r>
      <w:r>
        <w:rPr>
          <w:rFonts w:hint="eastAsia" w:ascii="仿宋_GB2312" w:hAnsi="宋体" w:eastAsia="仿宋_GB2312"/>
          <w:b/>
          <w:bCs/>
          <w:sz w:val="32"/>
          <w:szCs w:val="32"/>
          <w:lang w:val="zh-CN"/>
        </w:rPr>
        <w:tab/>
      </w:r>
    </w:p>
    <w:p>
      <w:pPr>
        <w:pageBreakBefore w:val="0"/>
        <w:kinsoku/>
        <w:wordWrap/>
        <w:overflowPunct/>
        <w:topLinePunct w:val="0"/>
        <w:bidi w:val="0"/>
        <w:adjustRightInd w:val="0"/>
        <w:snapToGrid w:val="0"/>
        <w:spacing w:line="576" w:lineRule="exact"/>
        <w:ind w:firstLine="720"/>
        <w:rPr>
          <w:rFonts w:hint="eastAsia" w:ascii="仿宋_GB2312" w:eastAsia="仿宋_GB2312" w:cs="Times New Roman"/>
          <w:b/>
          <w:bCs/>
          <w:kern w:val="0"/>
          <w:sz w:val="30"/>
          <w:szCs w:val="24"/>
          <w:lang w:val="en-US" w:eastAsia="zh-CN" w:bidi="ar-SA"/>
        </w:rPr>
      </w:pPr>
      <w:r>
        <w:rPr>
          <w:rFonts w:hint="eastAsia" w:ascii="楷体_GB2312" w:hAnsi="宋体" w:eastAsia="楷体_GB2312"/>
          <w:b/>
          <w:bCs/>
          <w:sz w:val="32"/>
          <w:szCs w:val="32"/>
          <w:lang w:val="zh-CN"/>
        </w:rPr>
        <w:t>（一）项目完成情况。</w:t>
      </w:r>
      <w:r>
        <w:rPr>
          <w:rFonts w:hint="eastAsia" w:ascii="仿宋_GB2312" w:hAnsi="Times New Roman" w:eastAsia="仿宋_GB2312" w:cs="Times New Roman"/>
          <w:b/>
          <w:bCs/>
          <w:kern w:val="0"/>
          <w:sz w:val="30"/>
          <w:szCs w:val="24"/>
          <w:lang w:val="zh-CN" w:eastAsia="zh-CN" w:bidi="ar-SA"/>
        </w:rPr>
        <w:t>项目资金使用率为</w:t>
      </w:r>
      <w:r>
        <w:rPr>
          <w:rFonts w:hint="eastAsia" w:ascii="仿宋_GB2312" w:eastAsia="仿宋_GB2312" w:cs="Times New Roman"/>
          <w:b/>
          <w:bCs/>
          <w:kern w:val="0"/>
          <w:sz w:val="30"/>
          <w:szCs w:val="24"/>
          <w:lang w:val="en-US" w:eastAsia="zh-CN" w:bidi="ar-SA"/>
        </w:rPr>
        <w:t>100</w:t>
      </w:r>
      <w:r>
        <w:rPr>
          <w:rFonts w:hint="eastAsia" w:ascii="仿宋_GB2312" w:hAnsi="Times New Roman" w:eastAsia="仿宋_GB2312" w:cs="Times New Roman"/>
          <w:b/>
          <w:bCs/>
          <w:kern w:val="0"/>
          <w:sz w:val="30"/>
          <w:szCs w:val="24"/>
          <w:lang w:val="en-US" w:eastAsia="zh-CN" w:bidi="ar-SA"/>
        </w:rPr>
        <w:t>%</w:t>
      </w:r>
      <w:r>
        <w:rPr>
          <w:rFonts w:hint="eastAsia" w:ascii="仿宋_GB2312" w:eastAsia="仿宋_GB2312" w:cs="Times New Roman"/>
          <w:b/>
          <w:bCs/>
          <w:kern w:val="0"/>
          <w:sz w:val="30"/>
          <w:szCs w:val="24"/>
          <w:lang w:val="en-US" w:eastAsia="zh-CN" w:bidi="ar-SA"/>
        </w:rPr>
        <w:t>。</w:t>
      </w:r>
    </w:p>
    <w:p>
      <w:pPr>
        <w:spacing w:line="540" w:lineRule="exact"/>
        <w:ind w:firstLine="642" w:firstLineChars="200"/>
        <w:rPr>
          <w:rFonts w:hint="eastAsia" w:ascii="仿宋_GB2312" w:hAnsi="宋体" w:eastAsia="仿宋_GB2312" w:cs="Times New Roman"/>
          <w:b/>
          <w:bCs/>
          <w:color w:val="0000FF"/>
          <w:sz w:val="32"/>
          <w:szCs w:val="32"/>
          <w:lang w:val="en-US" w:eastAsia="zh-CN"/>
        </w:rPr>
      </w:pPr>
      <w:r>
        <w:rPr>
          <w:rFonts w:hint="eastAsia" w:ascii="楷体_GB2312" w:hAnsi="宋体" w:eastAsia="楷体_GB2312"/>
          <w:b/>
          <w:bCs/>
          <w:sz w:val="32"/>
          <w:szCs w:val="32"/>
          <w:lang w:val="zh-CN"/>
        </w:rPr>
        <w:t>（二）项目效益情况。</w:t>
      </w:r>
      <w:r>
        <w:rPr>
          <w:rFonts w:hint="eastAsia" w:ascii="仿宋_GB2312" w:hAnsi="Times New Roman" w:eastAsia="仿宋_GB2312" w:cs="Times New Roman"/>
          <w:b/>
          <w:bCs/>
          <w:kern w:val="0"/>
          <w:sz w:val="30"/>
          <w:szCs w:val="24"/>
          <w:lang w:val="zh-CN" w:eastAsia="zh-CN" w:bidi="ar-SA"/>
        </w:rPr>
        <w:t>严格落实依法逐级走访规定，不断畅通网络信访渠道，全市网上信访占比67.0%，信访渠道良性好转。持续强化信访部门“耐心听”理念，疏导信访人情绪合理宣泄，缓解对抗；</w:t>
      </w:r>
      <w:r>
        <w:rPr>
          <w:rFonts w:hint="eastAsia" w:ascii="仿宋_GB2312" w:eastAsia="仿宋_GB2312" w:cs="Times New Roman"/>
          <w:b/>
          <w:bCs/>
          <w:kern w:val="0"/>
          <w:sz w:val="30"/>
          <w:szCs w:val="24"/>
          <w:lang w:val="zh-CN" w:eastAsia="zh-CN" w:bidi="ar-SA"/>
        </w:rPr>
        <w:t>保障聘用人员经费的支持，安心本职工作，更好的服务信访群众。</w:t>
      </w:r>
    </w:p>
    <w:p>
      <w:pPr>
        <w:pageBreakBefore w:val="0"/>
        <w:kinsoku/>
        <w:wordWrap/>
        <w:overflowPunct/>
        <w:topLinePunct w:val="0"/>
        <w:bidi w:val="0"/>
        <w:adjustRightInd w:val="0"/>
        <w:snapToGrid w:val="0"/>
        <w:spacing w:line="576" w:lineRule="exact"/>
        <w:ind w:firstLine="642" w:firstLineChars="200"/>
        <w:rPr>
          <w:rFonts w:ascii="黑体" w:hAnsi="宋体" w:eastAsia="黑体"/>
          <w:b/>
          <w:bCs/>
          <w:sz w:val="32"/>
          <w:szCs w:val="32"/>
        </w:rPr>
      </w:pPr>
      <w:r>
        <w:rPr>
          <w:rFonts w:hint="eastAsia" w:ascii="黑体" w:hAnsi="宋体" w:eastAsia="黑体"/>
          <w:b/>
          <w:bCs/>
          <w:sz w:val="32"/>
          <w:szCs w:val="32"/>
        </w:rPr>
        <w:t>五、评价结论及建议</w:t>
      </w:r>
    </w:p>
    <w:p>
      <w:pPr>
        <w:pageBreakBefore w:val="0"/>
        <w:kinsoku/>
        <w:wordWrap/>
        <w:overflowPunct/>
        <w:topLinePunct w:val="0"/>
        <w:bidi w:val="0"/>
        <w:adjustRightInd w:val="0"/>
        <w:snapToGrid w:val="0"/>
        <w:spacing w:line="576" w:lineRule="exact"/>
        <w:ind w:firstLine="720"/>
        <w:rPr>
          <w:rFonts w:hint="eastAsia" w:ascii="楷体_GB2312" w:hAnsi="宋体" w:eastAsia="楷体_GB2312"/>
          <w:b/>
          <w:bCs/>
          <w:sz w:val="32"/>
          <w:szCs w:val="32"/>
          <w:lang w:val="zh-CN"/>
        </w:rPr>
      </w:pPr>
      <w:r>
        <w:rPr>
          <w:rFonts w:hint="eastAsia" w:ascii="楷体_GB2312" w:hAnsi="宋体" w:eastAsia="楷体_GB2312"/>
          <w:b/>
          <w:bCs/>
          <w:sz w:val="32"/>
          <w:szCs w:val="32"/>
          <w:lang w:val="zh-CN"/>
        </w:rPr>
        <w:t>（一）评价结论。</w:t>
      </w:r>
    </w:p>
    <w:p>
      <w:pPr>
        <w:pStyle w:val="2"/>
        <w:ind w:firstLine="602" w:firstLineChars="200"/>
        <w:rPr>
          <w:rFonts w:hint="eastAsia" w:ascii="仿宋_GB2312" w:hAnsi="Times New Roman" w:eastAsia="仿宋_GB2312" w:cs="Times New Roman"/>
          <w:b/>
          <w:bCs/>
          <w:kern w:val="0"/>
          <w:sz w:val="30"/>
          <w:szCs w:val="24"/>
          <w:lang w:val="zh-CN" w:eastAsia="zh-CN" w:bidi="ar-SA"/>
        </w:rPr>
      </w:pPr>
      <w:r>
        <w:rPr>
          <w:rFonts w:hint="eastAsia" w:ascii="仿宋_GB2312" w:hAnsi="Times New Roman" w:eastAsia="仿宋_GB2312" w:cs="Times New Roman"/>
          <w:b/>
          <w:bCs/>
          <w:kern w:val="0"/>
          <w:sz w:val="30"/>
          <w:szCs w:val="24"/>
          <w:lang w:val="zh-CN" w:eastAsia="zh-CN" w:bidi="ar-SA"/>
        </w:rPr>
        <w:t>使被资助救助对象暂缓度过困难期，提升对党委政府的认同，提高对生活的信心，减少社会矛盾发生，杜绝违法行为发生，危害社会公共安全。完成对书记、市长信箱每日来信阅读、分类交办、督办按期回复，统计分析，突出问题上报等工作。</w:t>
      </w:r>
    </w:p>
    <w:p>
      <w:pPr>
        <w:pageBreakBefore w:val="0"/>
        <w:kinsoku/>
        <w:wordWrap/>
        <w:overflowPunct/>
        <w:topLinePunct w:val="0"/>
        <w:bidi w:val="0"/>
        <w:adjustRightInd w:val="0"/>
        <w:snapToGrid w:val="0"/>
        <w:spacing w:line="576" w:lineRule="exact"/>
        <w:ind w:firstLine="642" w:firstLineChars="200"/>
        <w:rPr>
          <w:rFonts w:ascii="楷体_GB2312" w:hAnsi="宋体" w:eastAsia="楷体_GB2312"/>
          <w:b/>
          <w:bCs/>
          <w:sz w:val="32"/>
          <w:szCs w:val="32"/>
          <w:lang w:val="zh-CN"/>
        </w:rPr>
      </w:pPr>
      <w:r>
        <w:rPr>
          <w:rFonts w:hint="eastAsia" w:ascii="楷体_GB2312" w:hAnsi="宋体" w:eastAsia="楷体_GB2312"/>
          <w:b/>
          <w:bCs/>
          <w:sz w:val="32"/>
          <w:szCs w:val="32"/>
          <w:lang w:val="zh-CN"/>
        </w:rPr>
        <w:t>（二）存在的问题。</w:t>
      </w:r>
    </w:p>
    <w:p>
      <w:pPr>
        <w:pageBreakBefore w:val="0"/>
        <w:kinsoku/>
        <w:wordWrap/>
        <w:overflowPunct/>
        <w:topLinePunct w:val="0"/>
        <w:bidi w:val="0"/>
        <w:adjustRightInd w:val="0"/>
        <w:snapToGrid w:val="0"/>
        <w:spacing w:line="576" w:lineRule="exact"/>
        <w:ind w:firstLine="720"/>
        <w:rPr>
          <w:rFonts w:hint="eastAsia" w:ascii="仿宋_GB2312" w:hAnsi="宋体" w:eastAsia="仿宋_GB2312" w:cs="Times New Roman"/>
          <w:b/>
          <w:bCs/>
          <w:sz w:val="32"/>
          <w:szCs w:val="32"/>
          <w:lang w:val="zh-CN" w:eastAsia="zh-CN"/>
        </w:rPr>
      </w:pPr>
      <w:r>
        <w:rPr>
          <w:rFonts w:hint="eastAsia" w:ascii="仿宋_GB2312" w:hAnsi="宋体" w:eastAsia="仿宋_GB2312" w:cs="Times New Roman"/>
          <w:b/>
          <w:bCs/>
          <w:sz w:val="32"/>
          <w:szCs w:val="32"/>
          <w:lang w:val="zh-CN" w:eastAsia="zh-CN"/>
        </w:rPr>
        <w:t>一是对困难信访群众实施资助救助后，后期个别化解帮助未跟上，有又返访的情况。</w:t>
      </w:r>
    </w:p>
    <w:p>
      <w:pPr>
        <w:pStyle w:val="2"/>
        <w:rPr>
          <w:rFonts w:hint="default"/>
          <w:lang w:val="en-US" w:eastAsia="zh-CN"/>
        </w:rPr>
      </w:pPr>
      <w:r>
        <w:rPr>
          <w:rFonts w:hint="eastAsia" w:hAnsi="宋体" w:cs="Times New Roman"/>
          <w:b/>
          <w:bCs/>
          <w:sz w:val="32"/>
          <w:szCs w:val="32"/>
          <w:lang w:val="en-US" w:eastAsia="zh-CN"/>
        </w:rPr>
        <w:t xml:space="preserve">    二是对聘用人员实施考核制度建立不全。</w:t>
      </w:r>
    </w:p>
    <w:p>
      <w:pPr>
        <w:pageBreakBefore w:val="0"/>
        <w:kinsoku/>
        <w:wordWrap/>
        <w:overflowPunct/>
        <w:topLinePunct w:val="0"/>
        <w:bidi w:val="0"/>
        <w:adjustRightInd w:val="0"/>
        <w:snapToGrid w:val="0"/>
        <w:spacing w:line="576" w:lineRule="exact"/>
        <w:ind w:firstLine="720"/>
        <w:rPr>
          <w:rFonts w:ascii="楷体_GB2312" w:hAnsi="宋体" w:eastAsia="楷体_GB2312"/>
          <w:b/>
          <w:bCs/>
          <w:sz w:val="32"/>
          <w:szCs w:val="32"/>
          <w:lang w:val="zh-CN"/>
        </w:rPr>
      </w:pPr>
      <w:r>
        <w:rPr>
          <w:rFonts w:hint="eastAsia" w:ascii="楷体_GB2312" w:hAnsi="宋体" w:eastAsia="楷体_GB2312"/>
          <w:b/>
          <w:bCs/>
          <w:sz w:val="32"/>
          <w:szCs w:val="32"/>
          <w:lang w:val="zh-CN"/>
        </w:rPr>
        <w:t>（三）相关建议。</w:t>
      </w:r>
    </w:p>
    <w:p>
      <w:pPr>
        <w:pageBreakBefore w:val="0"/>
        <w:kinsoku/>
        <w:wordWrap/>
        <w:overflowPunct/>
        <w:topLinePunct w:val="0"/>
        <w:bidi w:val="0"/>
        <w:spacing w:line="576" w:lineRule="exact"/>
        <w:ind w:firstLine="642" w:firstLineChars="200"/>
        <w:rPr>
          <w:rStyle w:val="25"/>
          <w:rFonts w:ascii="黑体" w:hAnsi="黑体" w:eastAsia="黑体"/>
          <w:b/>
          <w:bCs/>
        </w:rPr>
      </w:pPr>
      <w:r>
        <w:rPr>
          <w:rFonts w:hint="eastAsia" w:ascii="仿宋_GB2312" w:hAnsi="仿宋_GB2312" w:eastAsia="仿宋_GB2312" w:cs="仿宋_GB2312"/>
          <w:b/>
          <w:bCs/>
          <w:sz w:val="32"/>
          <w:szCs w:val="32"/>
          <w:lang w:eastAsia="zh-CN"/>
        </w:rPr>
        <w:t>继续加强和完善绩效管理体系，不断创新提高绩效管理水平。</w:t>
      </w:r>
    </w:p>
    <w:p>
      <w:pPr>
        <w:pageBreakBefore w:val="0"/>
        <w:kinsoku/>
        <w:wordWrap/>
        <w:overflowPunct/>
        <w:topLinePunct w:val="0"/>
        <w:bidi w:val="0"/>
        <w:spacing w:line="576" w:lineRule="exact"/>
        <w:jc w:val="center"/>
        <w:outlineLvl w:val="0"/>
        <w:rPr>
          <w:rStyle w:val="25"/>
          <w:rFonts w:ascii="黑体" w:hAnsi="黑体" w:eastAsia="黑体"/>
          <w:b/>
          <w:bCs/>
        </w:rPr>
      </w:pPr>
    </w:p>
    <w:p>
      <w:pPr>
        <w:pageBreakBefore w:val="0"/>
        <w:kinsoku/>
        <w:wordWrap/>
        <w:overflowPunct/>
        <w:topLinePunct w:val="0"/>
        <w:bidi w:val="0"/>
        <w:spacing w:line="576" w:lineRule="exact"/>
        <w:jc w:val="center"/>
        <w:outlineLvl w:val="0"/>
        <w:rPr>
          <w:rFonts w:ascii="仿宋" w:hAnsi="仿宋" w:eastAsia="仿宋"/>
          <w:b/>
          <w:bCs/>
          <w:color w:val="000000"/>
          <w:sz w:val="44"/>
          <w:szCs w:val="44"/>
        </w:rPr>
      </w:pPr>
      <w:bookmarkStart w:id="63" w:name="_Toc15396618"/>
      <w:r>
        <w:rPr>
          <w:rFonts w:hint="eastAsia" w:ascii="黑体" w:hAnsi="黑体" w:eastAsia="黑体"/>
          <w:b/>
          <w:bCs/>
          <w:color w:val="000000"/>
          <w:sz w:val="44"/>
          <w:szCs w:val="44"/>
        </w:rPr>
        <w:t>第</w:t>
      </w:r>
      <w:r>
        <w:rPr>
          <w:rStyle w:val="25"/>
          <w:rFonts w:hint="eastAsia" w:ascii="黑体" w:hAnsi="黑体" w:eastAsia="黑体"/>
          <w:b/>
          <w:bCs/>
        </w:rPr>
        <w:t>五部分 附表</w:t>
      </w:r>
      <w:bookmarkEnd w:id="61"/>
      <w:bookmarkEnd w:id="63"/>
    </w:p>
    <w:p>
      <w:pPr>
        <w:pStyle w:val="4"/>
        <w:pageBreakBefore w:val="0"/>
        <w:kinsoku/>
        <w:wordWrap/>
        <w:overflowPunct/>
        <w:topLinePunct w:val="0"/>
        <w:bidi w:val="0"/>
        <w:spacing w:line="576" w:lineRule="exact"/>
        <w:rPr>
          <w:rFonts w:ascii="仿宋" w:hAnsi="仿宋" w:eastAsia="仿宋"/>
          <w:b/>
          <w:bCs/>
          <w:color w:val="000000"/>
        </w:rPr>
      </w:pPr>
      <w:bookmarkStart w:id="64" w:name="_Toc15396619"/>
      <w:r>
        <w:rPr>
          <w:rFonts w:hint="eastAsia" w:ascii="仿宋" w:hAnsi="仿宋" w:eastAsia="仿宋"/>
          <w:b/>
          <w:bCs/>
          <w:color w:val="000000"/>
        </w:rPr>
        <w:t>一、收</w:t>
      </w:r>
      <w:r>
        <w:rPr>
          <w:rStyle w:val="26"/>
          <w:rFonts w:hint="eastAsia" w:ascii="仿宋" w:hAnsi="仿宋" w:eastAsia="仿宋"/>
          <w:b/>
          <w:bCs/>
        </w:rPr>
        <w:t>入支出决算总表</w:t>
      </w:r>
      <w:bookmarkEnd w:id="64"/>
    </w:p>
    <w:p>
      <w:pPr>
        <w:pStyle w:val="4"/>
        <w:pageBreakBefore w:val="0"/>
        <w:kinsoku/>
        <w:wordWrap/>
        <w:overflowPunct/>
        <w:topLinePunct w:val="0"/>
        <w:bidi w:val="0"/>
        <w:spacing w:line="576" w:lineRule="exact"/>
        <w:rPr>
          <w:rFonts w:ascii="仿宋" w:hAnsi="仿宋" w:eastAsia="仿宋"/>
          <w:b/>
          <w:bCs/>
          <w:color w:val="000000"/>
        </w:rPr>
      </w:pPr>
      <w:bookmarkStart w:id="65" w:name="_Toc15396620"/>
      <w:r>
        <w:rPr>
          <w:rFonts w:hint="eastAsia" w:ascii="仿宋" w:hAnsi="仿宋" w:eastAsia="仿宋"/>
          <w:b/>
          <w:bCs/>
          <w:color w:val="000000"/>
        </w:rPr>
        <w:t>二、收</w:t>
      </w:r>
      <w:r>
        <w:rPr>
          <w:rStyle w:val="26"/>
          <w:rFonts w:hint="eastAsia" w:ascii="仿宋" w:hAnsi="仿宋" w:eastAsia="仿宋"/>
          <w:b/>
          <w:bCs/>
        </w:rPr>
        <w:t>入决算表</w:t>
      </w:r>
      <w:bookmarkEnd w:id="65"/>
    </w:p>
    <w:p>
      <w:pPr>
        <w:pStyle w:val="4"/>
        <w:pageBreakBefore w:val="0"/>
        <w:kinsoku/>
        <w:wordWrap/>
        <w:overflowPunct/>
        <w:topLinePunct w:val="0"/>
        <w:bidi w:val="0"/>
        <w:spacing w:line="576" w:lineRule="exact"/>
        <w:rPr>
          <w:rFonts w:ascii="仿宋" w:hAnsi="仿宋" w:eastAsia="仿宋"/>
          <w:b/>
          <w:bCs/>
          <w:color w:val="000000"/>
        </w:rPr>
      </w:pPr>
      <w:bookmarkStart w:id="66" w:name="_Toc15396621"/>
      <w:r>
        <w:rPr>
          <w:rStyle w:val="26"/>
          <w:rFonts w:hint="eastAsia" w:ascii="仿宋" w:hAnsi="仿宋" w:eastAsia="仿宋"/>
          <w:b/>
          <w:bCs/>
        </w:rPr>
        <w:t>三、</w:t>
      </w:r>
      <w:r>
        <w:rPr>
          <w:rFonts w:hint="eastAsia" w:ascii="仿宋" w:hAnsi="仿宋" w:eastAsia="仿宋"/>
          <w:b/>
          <w:bCs/>
          <w:color w:val="000000"/>
        </w:rPr>
        <w:t>支</w:t>
      </w:r>
      <w:r>
        <w:rPr>
          <w:rStyle w:val="26"/>
          <w:rFonts w:hint="eastAsia" w:ascii="仿宋" w:hAnsi="仿宋" w:eastAsia="仿宋"/>
          <w:b/>
          <w:bCs/>
        </w:rPr>
        <w:t>出决算表</w:t>
      </w:r>
      <w:bookmarkEnd w:id="66"/>
    </w:p>
    <w:p>
      <w:pPr>
        <w:pStyle w:val="4"/>
        <w:pageBreakBefore w:val="0"/>
        <w:kinsoku/>
        <w:wordWrap/>
        <w:overflowPunct/>
        <w:topLinePunct w:val="0"/>
        <w:bidi w:val="0"/>
        <w:spacing w:line="576" w:lineRule="exact"/>
        <w:rPr>
          <w:rFonts w:ascii="仿宋" w:hAnsi="仿宋" w:eastAsia="仿宋"/>
          <w:b/>
          <w:bCs/>
          <w:color w:val="000000"/>
        </w:rPr>
      </w:pPr>
      <w:bookmarkStart w:id="67" w:name="_Toc15396622"/>
      <w:r>
        <w:rPr>
          <w:rStyle w:val="26"/>
          <w:rFonts w:hint="eastAsia" w:ascii="仿宋" w:hAnsi="仿宋" w:eastAsia="仿宋"/>
          <w:b/>
          <w:bCs/>
        </w:rPr>
        <w:t>四、</w:t>
      </w:r>
      <w:r>
        <w:rPr>
          <w:rFonts w:hint="eastAsia" w:ascii="仿宋" w:hAnsi="仿宋" w:eastAsia="仿宋"/>
          <w:b/>
          <w:bCs/>
          <w:color w:val="000000"/>
        </w:rPr>
        <w:t>财</w:t>
      </w:r>
      <w:r>
        <w:rPr>
          <w:rStyle w:val="26"/>
          <w:rFonts w:hint="eastAsia" w:ascii="仿宋" w:hAnsi="仿宋" w:eastAsia="仿宋"/>
          <w:b/>
          <w:bCs/>
        </w:rPr>
        <w:t>政拨款收入支出决算总表</w:t>
      </w:r>
      <w:bookmarkEnd w:id="67"/>
    </w:p>
    <w:p>
      <w:pPr>
        <w:pStyle w:val="4"/>
        <w:pageBreakBefore w:val="0"/>
        <w:kinsoku/>
        <w:wordWrap/>
        <w:overflowPunct/>
        <w:topLinePunct w:val="0"/>
        <w:bidi w:val="0"/>
        <w:spacing w:line="576" w:lineRule="exact"/>
        <w:rPr>
          <w:rStyle w:val="26"/>
          <w:rFonts w:ascii="仿宋" w:hAnsi="仿宋" w:eastAsia="仿宋"/>
          <w:b/>
          <w:bCs/>
        </w:rPr>
      </w:pPr>
      <w:bookmarkStart w:id="68" w:name="_Toc15396623"/>
      <w:r>
        <w:rPr>
          <w:rStyle w:val="26"/>
          <w:rFonts w:hint="eastAsia" w:ascii="仿宋" w:hAnsi="仿宋" w:eastAsia="仿宋"/>
          <w:b/>
          <w:bCs/>
        </w:rPr>
        <w:t>五、</w:t>
      </w:r>
      <w:r>
        <w:rPr>
          <w:rFonts w:hint="eastAsia" w:ascii="仿宋" w:hAnsi="仿宋" w:eastAsia="仿宋"/>
          <w:b/>
          <w:bCs/>
          <w:color w:val="000000"/>
        </w:rPr>
        <w:t>财</w:t>
      </w:r>
      <w:r>
        <w:rPr>
          <w:rStyle w:val="26"/>
          <w:rFonts w:hint="eastAsia" w:ascii="仿宋" w:hAnsi="仿宋" w:eastAsia="仿宋"/>
          <w:b/>
          <w:bCs/>
        </w:rPr>
        <w:t>政拨款支出决算明细表</w:t>
      </w:r>
      <w:bookmarkEnd w:id="68"/>
      <w:bookmarkStart w:id="69" w:name="_Toc15396624"/>
    </w:p>
    <w:p>
      <w:pPr>
        <w:pStyle w:val="4"/>
        <w:pageBreakBefore w:val="0"/>
        <w:kinsoku/>
        <w:wordWrap/>
        <w:overflowPunct/>
        <w:topLinePunct w:val="0"/>
        <w:bidi w:val="0"/>
        <w:spacing w:line="576" w:lineRule="exact"/>
        <w:rPr>
          <w:rFonts w:ascii="仿宋" w:hAnsi="仿宋" w:eastAsia="仿宋"/>
          <w:b/>
          <w:bCs/>
          <w:color w:val="000000"/>
        </w:rPr>
      </w:pPr>
      <w:r>
        <w:rPr>
          <w:rStyle w:val="26"/>
          <w:rFonts w:hint="eastAsia" w:ascii="仿宋" w:hAnsi="仿宋" w:eastAsia="仿宋"/>
          <w:b/>
          <w:bCs/>
        </w:rPr>
        <w:t>六、</w:t>
      </w:r>
      <w:r>
        <w:rPr>
          <w:rFonts w:hint="eastAsia" w:ascii="仿宋" w:hAnsi="仿宋" w:eastAsia="仿宋"/>
          <w:b/>
          <w:bCs/>
          <w:color w:val="000000"/>
        </w:rPr>
        <w:t>一</w:t>
      </w:r>
      <w:r>
        <w:rPr>
          <w:rStyle w:val="26"/>
          <w:rFonts w:hint="eastAsia" w:ascii="仿宋" w:hAnsi="仿宋" w:eastAsia="仿宋"/>
          <w:b/>
          <w:bCs/>
        </w:rPr>
        <w:t>般公共预算财政拨款支出决算表</w:t>
      </w:r>
      <w:bookmarkEnd w:id="69"/>
    </w:p>
    <w:p>
      <w:pPr>
        <w:pStyle w:val="4"/>
        <w:pageBreakBefore w:val="0"/>
        <w:kinsoku/>
        <w:wordWrap/>
        <w:overflowPunct/>
        <w:topLinePunct w:val="0"/>
        <w:bidi w:val="0"/>
        <w:spacing w:line="576" w:lineRule="exact"/>
        <w:rPr>
          <w:rFonts w:ascii="仿宋" w:hAnsi="仿宋" w:eastAsia="仿宋"/>
          <w:b/>
          <w:bCs/>
          <w:color w:val="000000"/>
        </w:rPr>
      </w:pPr>
      <w:bookmarkStart w:id="70" w:name="_Toc15396625"/>
      <w:r>
        <w:rPr>
          <w:rStyle w:val="26"/>
          <w:rFonts w:hint="eastAsia" w:ascii="仿宋" w:hAnsi="仿宋" w:eastAsia="仿宋"/>
          <w:b/>
          <w:bCs/>
        </w:rPr>
        <w:t>七、</w:t>
      </w:r>
      <w:r>
        <w:rPr>
          <w:rFonts w:hint="eastAsia" w:ascii="仿宋" w:hAnsi="仿宋" w:eastAsia="仿宋"/>
          <w:b/>
          <w:bCs/>
          <w:color w:val="000000"/>
        </w:rPr>
        <w:t>一</w:t>
      </w:r>
      <w:r>
        <w:rPr>
          <w:rStyle w:val="26"/>
          <w:rFonts w:hint="eastAsia" w:ascii="仿宋" w:hAnsi="仿宋" w:eastAsia="仿宋"/>
          <w:b/>
          <w:bCs/>
        </w:rPr>
        <w:t>般公共预算财政拨款支出决算明细表</w:t>
      </w:r>
      <w:bookmarkEnd w:id="70"/>
    </w:p>
    <w:p>
      <w:pPr>
        <w:pStyle w:val="4"/>
        <w:pageBreakBefore w:val="0"/>
        <w:kinsoku/>
        <w:wordWrap/>
        <w:overflowPunct/>
        <w:topLinePunct w:val="0"/>
        <w:bidi w:val="0"/>
        <w:spacing w:line="576" w:lineRule="exact"/>
        <w:rPr>
          <w:rFonts w:ascii="仿宋" w:hAnsi="仿宋" w:eastAsia="仿宋"/>
          <w:b/>
          <w:bCs/>
          <w:color w:val="000000"/>
        </w:rPr>
      </w:pPr>
      <w:bookmarkStart w:id="71" w:name="_Toc15396626"/>
      <w:r>
        <w:rPr>
          <w:rStyle w:val="26"/>
          <w:rFonts w:hint="eastAsia" w:ascii="仿宋" w:hAnsi="仿宋" w:eastAsia="仿宋"/>
          <w:b/>
          <w:bCs/>
        </w:rPr>
        <w:t>八、</w:t>
      </w:r>
      <w:r>
        <w:rPr>
          <w:rFonts w:hint="eastAsia" w:ascii="仿宋" w:hAnsi="仿宋" w:eastAsia="仿宋"/>
          <w:b/>
          <w:bCs/>
          <w:color w:val="000000"/>
        </w:rPr>
        <w:t>一</w:t>
      </w:r>
      <w:r>
        <w:rPr>
          <w:rStyle w:val="26"/>
          <w:rFonts w:hint="eastAsia" w:ascii="仿宋" w:hAnsi="仿宋" w:eastAsia="仿宋"/>
          <w:b/>
          <w:bCs/>
        </w:rPr>
        <w:t>般公共预算财政拨款基本支出决算表</w:t>
      </w:r>
      <w:bookmarkEnd w:id="71"/>
    </w:p>
    <w:p>
      <w:pPr>
        <w:pStyle w:val="4"/>
        <w:pageBreakBefore w:val="0"/>
        <w:kinsoku/>
        <w:wordWrap/>
        <w:overflowPunct/>
        <w:topLinePunct w:val="0"/>
        <w:bidi w:val="0"/>
        <w:spacing w:line="576" w:lineRule="exact"/>
        <w:rPr>
          <w:rFonts w:ascii="仿宋" w:hAnsi="仿宋" w:eastAsia="仿宋"/>
          <w:b/>
          <w:bCs/>
          <w:color w:val="000000"/>
        </w:rPr>
      </w:pPr>
      <w:bookmarkStart w:id="72" w:name="_Toc15396627"/>
      <w:r>
        <w:rPr>
          <w:rStyle w:val="26"/>
          <w:rFonts w:hint="eastAsia" w:ascii="仿宋" w:hAnsi="仿宋" w:eastAsia="仿宋"/>
          <w:b/>
          <w:bCs/>
        </w:rPr>
        <w:t>九、</w:t>
      </w:r>
      <w:r>
        <w:rPr>
          <w:rFonts w:hint="eastAsia" w:ascii="仿宋" w:hAnsi="仿宋" w:eastAsia="仿宋"/>
          <w:b/>
          <w:bCs/>
          <w:color w:val="000000"/>
        </w:rPr>
        <w:t>一</w:t>
      </w:r>
      <w:r>
        <w:rPr>
          <w:rStyle w:val="26"/>
          <w:rFonts w:hint="eastAsia" w:ascii="仿宋" w:hAnsi="仿宋" w:eastAsia="仿宋"/>
          <w:b/>
          <w:bCs/>
        </w:rPr>
        <w:t>般公共预算财政拨款项目支出决算表</w:t>
      </w:r>
      <w:bookmarkEnd w:id="72"/>
    </w:p>
    <w:p>
      <w:pPr>
        <w:pStyle w:val="4"/>
        <w:pageBreakBefore w:val="0"/>
        <w:kinsoku/>
        <w:wordWrap/>
        <w:overflowPunct/>
        <w:topLinePunct w:val="0"/>
        <w:bidi w:val="0"/>
        <w:spacing w:line="576" w:lineRule="exact"/>
        <w:rPr>
          <w:rFonts w:ascii="仿宋" w:hAnsi="仿宋" w:eastAsia="仿宋"/>
          <w:b/>
          <w:bCs/>
          <w:color w:val="000000"/>
        </w:rPr>
      </w:pPr>
      <w:bookmarkStart w:id="73" w:name="_Toc15396628"/>
      <w:r>
        <w:rPr>
          <w:rStyle w:val="26"/>
          <w:rFonts w:hint="eastAsia" w:ascii="仿宋" w:hAnsi="仿宋" w:eastAsia="仿宋"/>
          <w:b/>
          <w:bCs/>
        </w:rPr>
        <w:t>十、</w:t>
      </w:r>
      <w:r>
        <w:rPr>
          <w:rFonts w:hint="eastAsia" w:ascii="仿宋" w:hAnsi="仿宋" w:eastAsia="仿宋"/>
          <w:b/>
          <w:bCs/>
          <w:color w:val="000000"/>
        </w:rPr>
        <w:t>一</w:t>
      </w:r>
      <w:r>
        <w:rPr>
          <w:rStyle w:val="26"/>
          <w:rFonts w:hint="eastAsia" w:ascii="仿宋" w:hAnsi="仿宋" w:eastAsia="仿宋"/>
          <w:b/>
          <w:bCs/>
        </w:rPr>
        <w:t>般公共预算财政拨款“三公”经费支出决算表</w:t>
      </w:r>
      <w:bookmarkEnd w:id="73"/>
    </w:p>
    <w:p>
      <w:pPr>
        <w:pStyle w:val="4"/>
        <w:pageBreakBefore w:val="0"/>
        <w:kinsoku/>
        <w:wordWrap/>
        <w:overflowPunct/>
        <w:topLinePunct w:val="0"/>
        <w:bidi w:val="0"/>
        <w:spacing w:line="576" w:lineRule="exact"/>
        <w:rPr>
          <w:rFonts w:ascii="仿宋" w:hAnsi="仿宋" w:eastAsia="仿宋"/>
          <w:b/>
          <w:bCs/>
          <w:color w:val="000000"/>
        </w:rPr>
      </w:pPr>
      <w:bookmarkStart w:id="74" w:name="_Toc15396629"/>
      <w:r>
        <w:rPr>
          <w:rStyle w:val="26"/>
          <w:rFonts w:hint="eastAsia" w:ascii="仿宋" w:hAnsi="仿宋" w:eastAsia="仿宋"/>
          <w:b/>
          <w:bCs/>
        </w:rPr>
        <w:t>十一、</w:t>
      </w:r>
      <w:r>
        <w:rPr>
          <w:rFonts w:hint="eastAsia" w:ascii="仿宋" w:hAnsi="仿宋" w:eastAsia="仿宋"/>
          <w:b/>
          <w:bCs/>
          <w:color w:val="000000"/>
        </w:rPr>
        <w:t>政</w:t>
      </w:r>
      <w:r>
        <w:rPr>
          <w:rStyle w:val="26"/>
          <w:rFonts w:hint="eastAsia" w:ascii="仿宋" w:hAnsi="仿宋" w:eastAsia="仿宋"/>
          <w:b/>
          <w:bCs/>
        </w:rPr>
        <w:t>府性基金预算财政拨款收入支出决算表</w:t>
      </w:r>
      <w:bookmarkEnd w:id="74"/>
    </w:p>
    <w:p>
      <w:pPr>
        <w:pStyle w:val="4"/>
        <w:pageBreakBefore w:val="0"/>
        <w:kinsoku/>
        <w:wordWrap/>
        <w:overflowPunct/>
        <w:topLinePunct w:val="0"/>
        <w:bidi w:val="0"/>
        <w:spacing w:line="576" w:lineRule="exact"/>
        <w:rPr>
          <w:rFonts w:ascii="仿宋" w:hAnsi="仿宋" w:eastAsia="仿宋"/>
          <w:b/>
          <w:bCs/>
          <w:color w:val="000000"/>
        </w:rPr>
      </w:pPr>
      <w:bookmarkStart w:id="75" w:name="_Toc15396630"/>
      <w:r>
        <w:rPr>
          <w:rStyle w:val="26"/>
          <w:rFonts w:hint="eastAsia" w:ascii="仿宋" w:hAnsi="仿宋" w:eastAsia="仿宋"/>
          <w:b/>
          <w:bCs/>
        </w:rPr>
        <w:t>十二、</w:t>
      </w:r>
      <w:r>
        <w:rPr>
          <w:rFonts w:hint="eastAsia" w:ascii="仿宋" w:hAnsi="仿宋" w:eastAsia="仿宋"/>
          <w:b/>
          <w:bCs/>
          <w:color w:val="000000"/>
        </w:rPr>
        <w:t>政</w:t>
      </w:r>
      <w:r>
        <w:rPr>
          <w:rStyle w:val="26"/>
          <w:rFonts w:hint="eastAsia" w:ascii="仿宋" w:hAnsi="仿宋" w:eastAsia="仿宋"/>
          <w:b/>
          <w:bCs/>
        </w:rPr>
        <w:t>府性基金预算财政拨款“三公”经费支出决算表</w:t>
      </w:r>
      <w:bookmarkEnd w:id="75"/>
    </w:p>
    <w:p>
      <w:pPr>
        <w:pStyle w:val="4"/>
        <w:pageBreakBefore w:val="0"/>
        <w:kinsoku/>
        <w:wordWrap/>
        <w:overflowPunct/>
        <w:topLinePunct w:val="0"/>
        <w:bidi w:val="0"/>
        <w:spacing w:line="576" w:lineRule="exact"/>
        <w:rPr>
          <w:rStyle w:val="26"/>
          <w:rFonts w:hint="eastAsia" w:ascii="仿宋" w:hAnsi="仿宋" w:eastAsia="仿宋"/>
          <w:b/>
          <w:bCs/>
        </w:rPr>
      </w:pPr>
      <w:bookmarkStart w:id="76" w:name="_Toc15396631"/>
      <w:r>
        <w:rPr>
          <w:rStyle w:val="26"/>
          <w:rFonts w:hint="eastAsia" w:ascii="仿宋" w:hAnsi="仿宋" w:eastAsia="仿宋"/>
          <w:b/>
          <w:bCs/>
        </w:rPr>
        <w:t>十三、</w:t>
      </w:r>
      <w:r>
        <w:rPr>
          <w:rFonts w:hint="eastAsia" w:ascii="仿宋" w:hAnsi="仿宋" w:eastAsia="仿宋"/>
          <w:b/>
          <w:bCs/>
          <w:color w:val="000000"/>
        </w:rPr>
        <w:t>国</w:t>
      </w:r>
      <w:r>
        <w:rPr>
          <w:rStyle w:val="26"/>
          <w:rFonts w:hint="eastAsia" w:ascii="仿宋" w:hAnsi="仿宋" w:eastAsia="仿宋"/>
          <w:b/>
          <w:bCs/>
        </w:rPr>
        <w:t>有资本经营预算</w:t>
      </w:r>
      <w:r>
        <w:rPr>
          <w:rStyle w:val="26"/>
          <w:rFonts w:hint="eastAsia" w:ascii="仿宋" w:hAnsi="仿宋" w:eastAsia="仿宋"/>
          <w:b/>
          <w:bCs/>
          <w:lang w:eastAsia="zh-CN"/>
        </w:rPr>
        <w:t>财政拨款收入</w:t>
      </w:r>
      <w:r>
        <w:rPr>
          <w:rStyle w:val="26"/>
          <w:rFonts w:hint="eastAsia" w:ascii="仿宋" w:hAnsi="仿宋" w:eastAsia="仿宋"/>
          <w:b/>
          <w:bCs/>
        </w:rPr>
        <w:t>支出决算表</w:t>
      </w:r>
    </w:p>
    <w:p>
      <w:pPr>
        <w:pStyle w:val="4"/>
        <w:pageBreakBefore w:val="0"/>
        <w:kinsoku/>
        <w:wordWrap/>
        <w:overflowPunct/>
        <w:topLinePunct w:val="0"/>
        <w:bidi w:val="0"/>
        <w:spacing w:line="576" w:lineRule="exact"/>
        <w:rPr>
          <w:rFonts w:ascii="仿宋" w:hAnsi="仿宋" w:eastAsia="仿宋"/>
          <w:b/>
          <w:bCs/>
          <w:color w:val="000000" w:themeColor="text1"/>
          <w14:textFill>
            <w14:solidFill>
              <w14:schemeClr w14:val="tx1"/>
            </w14:solidFill>
          </w14:textFill>
        </w:rPr>
      </w:pPr>
      <w:r>
        <w:rPr>
          <w:rStyle w:val="26"/>
          <w:rFonts w:hint="eastAsia" w:ascii="仿宋" w:hAnsi="仿宋" w:eastAsia="仿宋"/>
          <w:b/>
          <w:bCs/>
          <w:lang w:eastAsia="zh-CN"/>
        </w:rPr>
        <w:t>十四、</w:t>
      </w:r>
      <w:bookmarkEnd w:id="76"/>
      <w:r>
        <w:rPr>
          <w:rFonts w:hint="eastAsia" w:ascii="仿宋" w:hAnsi="仿宋" w:eastAsia="仿宋"/>
          <w:b/>
          <w:bCs/>
          <w:color w:val="000000"/>
        </w:rPr>
        <w:t>国</w:t>
      </w:r>
      <w:r>
        <w:rPr>
          <w:rStyle w:val="26"/>
          <w:rFonts w:hint="eastAsia" w:ascii="仿宋" w:hAnsi="仿宋" w:eastAsia="仿宋"/>
          <w:b/>
          <w:bCs/>
        </w:rPr>
        <w:t>有资本经营预算</w:t>
      </w:r>
      <w:r>
        <w:rPr>
          <w:rStyle w:val="26"/>
          <w:rFonts w:hint="eastAsia" w:ascii="仿宋" w:hAnsi="仿宋" w:eastAsia="仿宋"/>
          <w:b/>
          <w:bCs/>
          <w:lang w:eastAsia="zh-CN"/>
        </w:rPr>
        <w:t>财政拨款</w:t>
      </w:r>
      <w:r>
        <w:rPr>
          <w:rStyle w:val="26"/>
          <w:rFonts w:hint="eastAsia" w:ascii="仿宋" w:hAnsi="仿宋" w:eastAsia="仿宋"/>
          <w:b/>
          <w:bCs/>
        </w:rPr>
        <w:t>支出决算表</w:t>
      </w:r>
    </w:p>
    <w:p>
      <w:pPr>
        <w:pStyle w:val="4"/>
        <w:pageBreakBefore w:val="0"/>
        <w:kinsoku/>
        <w:wordWrap/>
        <w:overflowPunct/>
        <w:topLinePunct w:val="0"/>
        <w:bidi w:val="0"/>
        <w:spacing w:line="576" w:lineRule="exact"/>
        <w:rPr>
          <w:rFonts w:ascii="仿宋" w:hAnsi="仿宋" w:eastAsia="仿宋"/>
          <w:b/>
          <w:bCs/>
          <w:color w:val="000000" w:themeColor="text1"/>
          <w14:textFill>
            <w14:solidFill>
              <w14:schemeClr w14:val="tx1"/>
            </w14:solidFill>
          </w14:textFill>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3000509000000000000"/>
    <w:charset w:val="86"/>
    <w:family w:val="script"/>
    <w:pitch w:val="default"/>
    <w:sig w:usb0="00000000" w:usb1="00000000" w:usb2="00000000" w:usb3="00000000" w:csb0="00040000" w:csb1="00000000"/>
  </w:font>
  <w:font w:name="华文中宋">
    <w:altName w:val="方正书宋_GBK"/>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粗黑宋简体">
    <w:altName w:val="方正书宋_GBK"/>
    <w:panose1 w:val="02000000000000000000"/>
    <w:charset w:val="86"/>
    <w:family w:val="auto"/>
    <w:pitch w:val="default"/>
    <w:sig w:usb0="00000000" w:usb1="00000000" w:usb2="00000000" w:usb3="00000000" w:csb0="00000000" w:csb1="00000000"/>
  </w:font>
  <w:font w:name="微软雅黑">
    <w:altName w:val="方正黑体_GBK"/>
    <w:panose1 w:val="020B0503020204020204"/>
    <w:charset w:val="86"/>
    <w:family w:val="swiss"/>
    <w:pitch w:val="variable"/>
    <w:sig w:usb0="00000000" w:usb1="00000000" w:usb2="00000000" w:usb3="00000000" w:csb0="0000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24</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9AE4B"/>
    <w:multiLevelType w:val="singleLevel"/>
    <w:tmpl w:val="A759AE4B"/>
    <w:lvl w:ilvl="0" w:tentative="0">
      <w:start w:val="1"/>
      <w:numFmt w:val="decimal"/>
      <w:lvlText w:val="%1."/>
      <w:lvlJc w:val="left"/>
      <w:pPr>
        <w:tabs>
          <w:tab w:val="left" w:pos="312"/>
        </w:tabs>
      </w:p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ZmU3NzIyNjU0Y2QwMWI1ZjkyZGZiMTcwZDQzNTU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D0E3F"/>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0C766B"/>
    <w:rsid w:val="033F208F"/>
    <w:rsid w:val="03F82C12"/>
    <w:rsid w:val="091531D9"/>
    <w:rsid w:val="0B1A3079"/>
    <w:rsid w:val="0C1E4A48"/>
    <w:rsid w:val="10395806"/>
    <w:rsid w:val="1046720F"/>
    <w:rsid w:val="10C055FF"/>
    <w:rsid w:val="11C83784"/>
    <w:rsid w:val="12173A56"/>
    <w:rsid w:val="12727F67"/>
    <w:rsid w:val="12E63B6D"/>
    <w:rsid w:val="131D0E03"/>
    <w:rsid w:val="14AB2FD4"/>
    <w:rsid w:val="14FF7D2F"/>
    <w:rsid w:val="16BB723D"/>
    <w:rsid w:val="16EC5E49"/>
    <w:rsid w:val="17CD3AF8"/>
    <w:rsid w:val="1CBF0385"/>
    <w:rsid w:val="1E7C2DF8"/>
    <w:rsid w:val="1FA752D0"/>
    <w:rsid w:val="22246E99"/>
    <w:rsid w:val="2293117F"/>
    <w:rsid w:val="22A61BCF"/>
    <w:rsid w:val="240371BF"/>
    <w:rsid w:val="24D81375"/>
    <w:rsid w:val="26EC185D"/>
    <w:rsid w:val="28533213"/>
    <w:rsid w:val="289D0BD7"/>
    <w:rsid w:val="293E1843"/>
    <w:rsid w:val="299D4D4A"/>
    <w:rsid w:val="29FD04D3"/>
    <w:rsid w:val="2B712407"/>
    <w:rsid w:val="319F7F4E"/>
    <w:rsid w:val="331D3CFC"/>
    <w:rsid w:val="37E5263B"/>
    <w:rsid w:val="390B40E3"/>
    <w:rsid w:val="3DDE60DE"/>
    <w:rsid w:val="3E084649"/>
    <w:rsid w:val="3E783442"/>
    <w:rsid w:val="417C7436"/>
    <w:rsid w:val="418B6DF4"/>
    <w:rsid w:val="445E528A"/>
    <w:rsid w:val="44DA2139"/>
    <w:rsid w:val="455659C8"/>
    <w:rsid w:val="4CE72788"/>
    <w:rsid w:val="4D7342A7"/>
    <w:rsid w:val="4D8C6623"/>
    <w:rsid w:val="4E116785"/>
    <w:rsid w:val="4ECE2238"/>
    <w:rsid w:val="4F630F70"/>
    <w:rsid w:val="516932F0"/>
    <w:rsid w:val="53746344"/>
    <w:rsid w:val="5A4C6D93"/>
    <w:rsid w:val="5D1C0B9F"/>
    <w:rsid w:val="60745CF1"/>
    <w:rsid w:val="62735295"/>
    <w:rsid w:val="62B3284B"/>
    <w:rsid w:val="62E23518"/>
    <w:rsid w:val="63E94269"/>
    <w:rsid w:val="64305BF0"/>
    <w:rsid w:val="64D90ED0"/>
    <w:rsid w:val="673776DB"/>
    <w:rsid w:val="6ABF4C3E"/>
    <w:rsid w:val="6F490248"/>
    <w:rsid w:val="72734D90"/>
    <w:rsid w:val="73AD745E"/>
    <w:rsid w:val="74AD4DA0"/>
    <w:rsid w:val="76323488"/>
    <w:rsid w:val="779F0491"/>
    <w:rsid w:val="7AD135C4"/>
    <w:rsid w:val="7FCF28E8"/>
    <w:rsid w:val="EB770EAC"/>
    <w:rsid w:val="F7758D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link w:val="31"/>
    <w:unhideWhenUsed/>
    <w:qFormat/>
    <w:uiPriority w:val="39"/>
    <w:pPr>
      <w:tabs>
        <w:tab w:val="right" w:leader="dot" w:pos="8296"/>
      </w:tabs>
      <w:ind w:left="420" w:left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目录 2 Char"/>
    <w:link w:val="11"/>
    <w:qFormat/>
    <w:uiPriority w:val="3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WWW\Desktop\2020&#24180;&#20915;&#31639;&#20844;&#24320;\&#26376;&#24230;&#25910;&#25903;&#20998;&#26512;&#26609;&#29366;&#2227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WWW\Desktop\&#26376;&#24230;&#25910;&#25903;&#20998;&#26512;&#26609;&#29366;&#22270;1.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1.xml"/><Relationship Id="rId1" Type="http://schemas.openxmlformats.org/officeDocument/2006/relationships/oleObject" Target="file:///C:\Users\WWW\Desktop\2020&#24180;&#20915;&#31639;&#20844;&#24320;\&#26376;&#24230;&#25910;&#25903;&#20998;&#26512;&#26609;&#29366;&#22270;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WWW\Desktop\2020&#24180;&#20915;&#31639;&#20844;&#24320;\&#26376;&#24230;&#25910;&#25903;&#20998;&#26512;&#26609;&#29366;&#22270;1.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WWW\Desktop\2020&#24180;&#20915;&#31639;&#20844;&#24320;\&#26376;&#24230;&#25910;&#25903;&#20998;&#26512;&#26609;&#29366;&#22270;1.xlsx"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6.xml"/><Relationship Id="rId3" Type="http://schemas.microsoft.com/office/2011/relationships/chartStyle" Target="style6.xml"/><Relationship Id="rId2" Type="http://schemas.openxmlformats.org/officeDocument/2006/relationships/themeOverride" Target="../theme/themeOverride2.xml"/><Relationship Id="rId1" Type="http://schemas.openxmlformats.org/officeDocument/2006/relationships/oleObject" Target="file:///C:\Users\WWW\Desktop\2020&#24180;&#20915;&#31639;&#20844;&#24320;\&#26376;&#24230;&#25910;&#25903;&#20998;&#26512;&#26609;&#29366;&#2227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r>
              <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收支决算总计变动情况图</a:t>
            </a:r>
            <a:endPar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Pt>
            <c:idx val="0"/>
            <c:invertIfNegative val="false"/>
            <c:bubble3D val="false"/>
          </c:dPt>
          <c:dPt>
            <c:idx val="1"/>
            <c:invertIfNegative val="false"/>
            <c:bubble3D val="false"/>
          </c:dPt>
          <c:dLbls>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[月度收支分析柱状图1.xlsx]Sheet1!$O$32:$O$33</c:f>
              <c:strCache>
                <c:ptCount val="2"/>
                <c:pt idx="0">
                  <c:v>2019年</c:v>
                </c:pt>
                <c:pt idx="1">
                  <c:v>2020年</c:v>
                </c:pt>
              </c:strCache>
            </c:strRef>
          </c:cat>
          <c:val>
            <c:numRef>
              <c:f>[月度收支分析柱状图1.xlsx]Sheet1!$P$32:$P$33</c:f>
              <c:numCache>
                <c:formatCode>0.00_ </c:formatCode>
                <c:ptCount val="2"/>
                <c:pt idx="0">
                  <c:v>211.03</c:v>
                </c:pt>
                <c:pt idx="1">
                  <c:v>167.48</c:v>
                </c:pt>
              </c:numCache>
            </c:numRef>
          </c:val>
        </c:ser>
        <c:dLbls>
          <c:showLegendKey val="false"/>
          <c:showVal val="true"/>
          <c:showCatName val="false"/>
          <c:showSerName val="false"/>
          <c:showPercent val="false"/>
          <c:showBubbleSize val="false"/>
        </c:dLbls>
        <c:gapWidth val="219"/>
        <c:overlap val="-27"/>
        <c:axId val="517324296"/>
        <c:axId val="517324952"/>
      </c:barChart>
      <c:catAx>
        <c:axId val="51732429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0" i="0" u="none" strike="noStrike" kern="1200" baseline="0">
                <a:solidFill>
                  <a:schemeClr val="tx1">
                    <a:lumMod val="65000"/>
                    <a:lumOff val="35000"/>
                  </a:schemeClr>
                </a:solidFill>
                <a:latin typeface="方正粗黑宋简体" panose="02000000000000000000" charset="-122"/>
                <a:ea typeface="方正粗黑宋简体" panose="02000000000000000000" charset="-122"/>
                <a:cs typeface="方正粗黑宋简体" panose="02000000000000000000" charset="-122"/>
                <a:sym typeface="方正粗黑宋简体" panose="02000000000000000000" charset="-122"/>
              </a:defRPr>
            </a:pPr>
          </a:p>
        </c:txPr>
        <c:crossAx val="517324952"/>
        <c:crosses val="autoZero"/>
        <c:auto val="true"/>
        <c:lblAlgn val="ctr"/>
        <c:lblOffset val="100"/>
        <c:noMultiLvlLbl val="false"/>
      </c:catAx>
      <c:valAx>
        <c:axId val="517324952"/>
        <c:scaling>
          <c:orientation val="minMax"/>
          <c:max val="300"/>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732429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2160" b="0" i="0" u="none" strike="noStrike" kern="1200" spc="0" baseline="0">
                <a:solidFill>
                  <a:schemeClr val="tx1">
                    <a:lumMod val="65000"/>
                    <a:lumOff val="3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r>
              <a:rPr sz="216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收入决算结构图</a:t>
            </a:r>
            <a:endParaRPr sz="216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endParaRPr>
          </a:p>
        </c:rich>
      </c:tx>
      <c:layout/>
      <c:overlay val="false"/>
      <c:spPr>
        <a:noFill/>
        <a:ln>
          <a:noFill/>
        </a:ln>
        <a:effectLst/>
      </c:spPr>
    </c:title>
    <c:autoTitleDeleted val="false"/>
    <c:plotArea>
      <c:layout>
        <c:manualLayout>
          <c:layoutTarget val="inner"/>
          <c:xMode val="edge"/>
          <c:yMode val="edge"/>
          <c:x val="0.300459674049311"/>
          <c:y val="0.25974025974026"/>
          <c:w val="0.408552723220504"/>
          <c:h val="0.692561983471074"/>
        </c:manualLayout>
      </c:layout>
      <c:pieChart>
        <c:varyColors val="true"/>
        <c:ser>
          <c:idx val="0"/>
          <c:order val="0"/>
          <c:spPr/>
          <c:explosion val="0"/>
          <c:dPt>
            <c:idx val="0"/>
            <c:bubble3D val="false"/>
            <c:spPr>
              <a:solidFill>
                <a:schemeClr val="accent1"/>
              </a:solidFill>
              <a:ln w="19050">
                <a:solidFill>
                  <a:schemeClr val="lt1"/>
                </a:solidFill>
              </a:ln>
              <a:effectLst/>
            </c:spPr>
          </c:dPt>
          <c:dLbls>
            <c:dLbl>
              <c:idx val="0"/>
              <c:layout>
                <c:manualLayout>
                  <c:x val="-2.77858848599163e-7"/>
                  <c:y val="-0.216950314931127"/>
                </c:manualLayout>
              </c:layout>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1800" b="0" i="0" u="none" strike="noStrike" kern="1200" baseline="0">
                    <a:solidFill>
                      <a:schemeClr val="tx1">
                        <a:lumMod val="75000"/>
                        <a:lumOff val="2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[月度收支分析柱状图1.xlsx]Sheet1!$O$25</c:f>
              <c:numCache>
                <c:formatCode>0%</c:formatCode>
                <c:ptCount val="1"/>
                <c:pt idx="0">
                  <c:v>1</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sz="18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一般公共预算财政拨款支出决算结构</a:t>
            </a:r>
          </a:p>
        </c:rich>
      </c:tx>
      <c:layout/>
      <c:overlay val="false"/>
      <c:spPr>
        <a:noFill/>
        <a:ln>
          <a:noFill/>
        </a:ln>
        <a:effectLst/>
      </c:spPr>
    </c:title>
    <c:autoTitleDeleted val="false"/>
    <c:plotArea>
      <c:layout>
        <c:manualLayout>
          <c:layoutTarget val="inner"/>
          <c:xMode val="edge"/>
          <c:yMode val="edge"/>
          <c:x val="0.300459674049311"/>
          <c:y val="0.25974025974026"/>
          <c:w val="0.408552723220504"/>
          <c:h val="0.692561983471074"/>
        </c:manualLayout>
      </c:layout>
      <c:pieChart>
        <c:varyColors val="true"/>
        <c:ser>
          <c:idx val="0"/>
          <c:order val="0"/>
          <c:spPr>
            <a:solidFill>
              <a:srgbClr val="ED7D31"/>
            </a:solidFill>
            <a:ln w="31750">
              <a:solidFill>
                <a:schemeClr val="bg1">
                  <a:alpha val="42000"/>
                </a:schemeClr>
              </a:solidFill>
            </a:ln>
          </c:spPr>
          <c:explosion val="0"/>
          <c:dPt>
            <c:idx val="0"/>
            <c:bubble3D val="false"/>
            <c:spPr>
              <a:solidFill>
                <a:srgbClr val="4472C4"/>
              </a:solidFill>
              <a:ln w="31750">
                <a:solidFill>
                  <a:schemeClr val="bg1">
                    <a:alpha val="42000"/>
                  </a:schemeClr>
                </a:solidFill>
              </a:ln>
              <a:effectLst/>
            </c:spPr>
          </c:dPt>
          <c:dPt>
            <c:idx val="1"/>
            <c:bubble3D val="false"/>
            <c:spPr>
              <a:solidFill>
                <a:srgbClr val="ED7D31"/>
              </a:solidFill>
              <a:ln w="31750">
                <a:solidFill>
                  <a:schemeClr val="bg1">
                    <a:alpha val="42000"/>
                  </a:schemeClr>
                </a:solidFill>
              </a:ln>
              <a:effectLst/>
            </c:spPr>
          </c:dPt>
          <c:dPt>
            <c:idx val="2"/>
            <c:bubble3D val="false"/>
            <c:spPr>
              <a:solidFill>
                <a:srgbClr val="ED7D31"/>
              </a:solidFill>
              <a:ln w="31750">
                <a:solidFill>
                  <a:schemeClr val="bg1">
                    <a:alpha val="42000"/>
                  </a:schemeClr>
                </a:solidFill>
              </a:ln>
              <a:effectLst/>
            </c:spPr>
          </c:dPt>
          <c:dPt>
            <c:idx val="3"/>
            <c:bubble3D val="false"/>
            <c:spPr>
              <a:solidFill>
                <a:srgbClr val="ED7D31"/>
              </a:solidFill>
              <a:ln w="31750">
                <a:solidFill>
                  <a:schemeClr val="bg1">
                    <a:alpha val="42000"/>
                  </a:schemeClr>
                </a:solidFill>
              </a:ln>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[月度收支分析柱状图1.xlsx]Sheet1!$Q$43:$Q$46</c:f>
              <c:numCache>
                <c:formatCode>General</c:formatCode>
                <c:ptCount val="4"/>
                <c:pt idx="0">
                  <c:v>136.52</c:v>
                </c:pt>
                <c:pt idx="1">
                  <c:v>30.49</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r>
              <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财政拨款收、支决算总计变动情况</a:t>
            </a:r>
            <a:endPar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Pt>
            <c:idx val="0"/>
            <c:invertIfNegative val="false"/>
            <c:bubble3D val="false"/>
          </c:dPt>
          <c:dPt>
            <c:idx val="1"/>
            <c:invertIfNegative val="false"/>
            <c:bubble3D val="false"/>
          </c:dPt>
          <c:dLbls>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[月度收支分析柱状图1.xlsx]Sheet1!$O$32:$O$33</c:f>
              <c:strCache>
                <c:ptCount val="2"/>
                <c:pt idx="0">
                  <c:v>2019年</c:v>
                </c:pt>
                <c:pt idx="1">
                  <c:v>2020年</c:v>
                </c:pt>
              </c:strCache>
            </c:strRef>
          </c:cat>
          <c:val>
            <c:numRef>
              <c:f>[月度收支分析柱状图1.xlsx]Sheet1!$P$32:$P$33</c:f>
              <c:numCache>
                <c:formatCode>0.00_ </c:formatCode>
                <c:ptCount val="2"/>
                <c:pt idx="0">
                  <c:v>211.03</c:v>
                </c:pt>
                <c:pt idx="1">
                  <c:v>167.48</c:v>
                </c:pt>
              </c:numCache>
            </c:numRef>
          </c:val>
        </c:ser>
        <c:dLbls>
          <c:showLegendKey val="false"/>
          <c:showVal val="true"/>
          <c:showCatName val="false"/>
          <c:showSerName val="false"/>
          <c:showPercent val="false"/>
          <c:showBubbleSize val="false"/>
        </c:dLbls>
        <c:gapWidth val="219"/>
        <c:overlap val="-27"/>
        <c:axId val="517324296"/>
        <c:axId val="517324952"/>
      </c:barChart>
      <c:catAx>
        <c:axId val="51732429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0" i="0" u="none" strike="noStrike" kern="1200" baseline="0">
                <a:solidFill>
                  <a:schemeClr val="tx1">
                    <a:lumMod val="65000"/>
                    <a:lumOff val="35000"/>
                  </a:schemeClr>
                </a:solidFill>
                <a:latin typeface="方正粗黑宋简体" panose="02000000000000000000" charset="-122"/>
                <a:ea typeface="方正粗黑宋简体" panose="02000000000000000000" charset="-122"/>
                <a:cs typeface="方正粗黑宋简体" panose="02000000000000000000" charset="-122"/>
                <a:sym typeface="方正粗黑宋简体" panose="02000000000000000000" charset="-122"/>
              </a:defRPr>
            </a:pPr>
          </a:p>
        </c:txPr>
        <c:crossAx val="517324952"/>
        <c:crosses val="autoZero"/>
        <c:auto val="true"/>
        <c:lblAlgn val="ctr"/>
        <c:lblOffset val="100"/>
        <c:noMultiLvlLbl val="false"/>
      </c:catAx>
      <c:valAx>
        <c:axId val="517324952"/>
        <c:scaling>
          <c:orientation val="minMax"/>
          <c:max val="300"/>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732429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defRPr>
            </a:pPr>
            <a:r>
              <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rPr>
              <a:t>一般公共预算财政拨款支出决算变动情况</a:t>
            </a:r>
            <a:endParaRPr sz="1400">
              <a:latin typeface="方正小标宋简体" panose="03000509000000000000" pitchFamily="4" charset="-122"/>
              <a:ea typeface="方正小标宋简体" panose="03000509000000000000" pitchFamily="4" charset="-122"/>
              <a:cs typeface="方正小标宋简体" panose="03000509000000000000" pitchFamily="4" charset="-122"/>
              <a:sym typeface="方正小标宋简体" panose="03000509000000000000" pitchFamily="4" charset="-122"/>
            </a:endParaRP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Pt>
            <c:idx val="0"/>
            <c:invertIfNegative val="false"/>
            <c:bubble3D val="false"/>
          </c:dPt>
          <c:dPt>
            <c:idx val="1"/>
            <c:invertIfNegative val="false"/>
            <c:bubble3D val="false"/>
          </c:dPt>
          <c:dLbls>
            <c:spPr>
              <a:noFill/>
              <a:ln>
                <a:noFill/>
              </a:ln>
              <a:effectLst/>
            </c:spPr>
            <c:txPr>
              <a:bodyPr rot="0" spcFirstLastPara="0" vertOverflow="ellipsis" vert="horz" wrap="square" lIns="38100" tIns="19050" rIns="38100" bIns="19050" anchor="ctr" anchorCtr="true"/>
              <a:lstStyle/>
              <a:p>
                <a:pPr>
                  <a:defRPr lang="zh-CN" sz="1600" b="0" i="0" u="none" strike="noStrike" kern="1200" baseline="0">
                    <a:solidFill>
                      <a:schemeClr val="tx1">
                        <a:lumMod val="75000"/>
                        <a:lumOff val="25000"/>
                      </a:schemeClr>
                    </a:solidFill>
                    <a:latin typeface="仿宋_GB2312" panose="02010609030101010101" pitchFamily="3" charset="-122"/>
                    <a:ea typeface="仿宋_GB2312" panose="02010609030101010101" pitchFamily="3" charset="-122"/>
                    <a:cs typeface="仿宋_GB2312" panose="02010609030101010101" pitchFamily="3" charset="-122"/>
                    <a:sym typeface="仿宋_GB2312" panose="02010609030101010101" pitchFamily="3" charset="-122"/>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[月度收支分析柱状图1.xlsx]Sheet1!$O$32:$O$33</c:f>
              <c:strCache>
                <c:ptCount val="2"/>
                <c:pt idx="0">
                  <c:v>2019年</c:v>
                </c:pt>
                <c:pt idx="1">
                  <c:v>2020年</c:v>
                </c:pt>
              </c:strCache>
            </c:strRef>
          </c:cat>
          <c:val>
            <c:numRef>
              <c:f>[月度收支分析柱状图1.xlsx]Sheet1!$P$32:$P$33</c:f>
              <c:numCache>
                <c:formatCode>0.00_ </c:formatCode>
                <c:ptCount val="2"/>
                <c:pt idx="0">
                  <c:v>162.45</c:v>
                </c:pt>
                <c:pt idx="1">
                  <c:v>167.02</c:v>
                </c:pt>
              </c:numCache>
            </c:numRef>
          </c:val>
        </c:ser>
        <c:dLbls>
          <c:showLegendKey val="false"/>
          <c:showVal val="true"/>
          <c:showCatName val="false"/>
          <c:showSerName val="false"/>
          <c:showPercent val="false"/>
          <c:showBubbleSize val="false"/>
        </c:dLbls>
        <c:gapWidth val="219"/>
        <c:overlap val="-27"/>
        <c:axId val="517324296"/>
        <c:axId val="517324952"/>
      </c:barChart>
      <c:catAx>
        <c:axId val="51732429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1000" b="0" i="0" u="none" strike="noStrike" kern="1200" baseline="0">
                <a:solidFill>
                  <a:schemeClr val="tx1">
                    <a:lumMod val="65000"/>
                    <a:lumOff val="35000"/>
                  </a:schemeClr>
                </a:solidFill>
                <a:latin typeface="方正粗黑宋简体" panose="02000000000000000000" charset="-122"/>
                <a:ea typeface="方正粗黑宋简体" panose="02000000000000000000" charset="-122"/>
                <a:cs typeface="方正粗黑宋简体" panose="02000000000000000000" charset="-122"/>
                <a:sym typeface="方正粗黑宋简体" panose="02000000000000000000" charset="-122"/>
              </a:defRPr>
            </a:pPr>
          </a:p>
        </c:txPr>
        <c:crossAx val="517324952"/>
        <c:crosses val="autoZero"/>
        <c:auto val="true"/>
        <c:lblAlgn val="ctr"/>
        <c:lblOffset val="100"/>
        <c:noMultiLvlLbl val="false"/>
      </c:catAx>
      <c:valAx>
        <c:axId val="517324952"/>
        <c:scaling>
          <c:orientation val="minMax"/>
          <c:max val="300"/>
        </c:scaling>
        <c:delete val="false"/>
        <c:axPos val="l"/>
        <c:majorGridlines>
          <c:spPr>
            <a:ln w="9525" cap="flat" cmpd="sng" algn="ctr">
              <a:solidFill>
                <a:schemeClr val="tx1">
                  <a:lumMod val="15000"/>
                  <a:lumOff val="85000"/>
                </a:schemeClr>
              </a:solidFill>
              <a:round/>
            </a:ln>
            <a:effectLst/>
          </c:spPr>
        </c:majorGridlines>
        <c:numFmt formatCode="0.00_ "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732429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forceAA="false"/>
          <a:lstStyle/>
          <a:p>
            <a:pPr>
              <a:defRPr lang="zh-CN" sz="1400" b="0" i="0" u="none" strike="noStrike" kern="1200" spc="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zh-CN" altLang="en-US"/>
              <a:t>一般公共预算财政拨款支出决算结构</a:t>
            </a:r>
            <a:endParaRPr lang="zh-CN" altLang="en-US"/>
          </a:p>
        </c:rich>
      </c:tx>
      <c:layout/>
      <c:overlay val="false"/>
      <c:spPr>
        <a:noFill/>
        <a:ln>
          <a:noFill/>
        </a:ln>
        <a:effectLst/>
      </c:spPr>
    </c:title>
    <c:autoTitleDeleted val="false"/>
    <c:plotArea>
      <c:layout>
        <c:manualLayout>
          <c:layoutTarget val="inner"/>
          <c:xMode val="edge"/>
          <c:yMode val="edge"/>
          <c:x val="0.300459674049311"/>
          <c:y val="0.25974025974026"/>
          <c:w val="0.408552723220504"/>
          <c:h val="0.692561983471074"/>
        </c:manualLayout>
      </c:layout>
      <c:pieChart>
        <c:varyColors val="true"/>
        <c:ser>
          <c:idx val="0"/>
          <c:order val="0"/>
          <c:spPr>
            <a:solidFill>
              <a:srgbClr val="859949"/>
            </a:solidFill>
            <a:ln w="31750">
              <a:solidFill>
                <a:schemeClr val="bg1">
                  <a:alpha val="42000"/>
                </a:schemeClr>
              </a:solidFill>
            </a:ln>
          </c:spPr>
          <c:explosion val="0"/>
          <c:dPt>
            <c:idx val="0"/>
            <c:bubble3D val="false"/>
            <c:spPr>
              <a:solidFill>
                <a:srgbClr val="365B7C"/>
              </a:solidFill>
              <a:ln w="31750">
                <a:solidFill>
                  <a:schemeClr val="bg1">
                    <a:alpha val="42000"/>
                  </a:schemeClr>
                </a:solidFill>
              </a:ln>
              <a:effectLst/>
            </c:spPr>
          </c:dPt>
          <c:dPt>
            <c:idx val="1"/>
            <c:bubble3D val="false"/>
            <c:spPr>
              <a:solidFill>
                <a:srgbClr val="966480"/>
              </a:solidFill>
              <a:ln w="31750">
                <a:solidFill>
                  <a:schemeClr val="bg1">
                    <a:alpha val="42000"/>
                  </a:schemeClr>
                </a:solidFill>
              </a:ln>
              <a:effectLst/>
            </c:spPr>
          </c:dPt>
          <c:dPt>
            <c:idx val="2"/>
            <c:bubble3D val="false"/>
            <c:spPr>
              <a:solidFill>
                <a:srgbClr val="D06F83"/>
              </a:solidFill>
              <a:ln w="31750">
                <a:solidFill>
                  <a:schemeClr val="bg1">
                    <a:alpha val="42000"/>
                  </a:schemeClr>
                </a:solidFill>
              </a:ln>
              <a:effectLst/>
            </c:spPr>
          </c:dPt>
          <c:dPt>
            <c:idx val="3"/>
            <c:bubble3D val="false"/>
            <c:spPr>
              <a:solidFill>
                <a:srgbClr val="DD5F71"/>
              </a:solidFill>
              <a:ln w="31750">
                <a:solidFill>
                  <a:schemeClr val="bg1">
                    <a:alpha val="42000"/>
                  </a:schemeClr>
                </a:solidFill>
              </a:ln>
              <a:effectLst/>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val>
            <c:numRef>
              <c:f>[月度收支分析柱状图1.xlsx]Sheet1!$Q$43:$Q$46</c:f>
              <c:numCache>
                <c:formatCode>General</c:formatCode>
                <c:ptCount val="4"/>
                <c:pt idx="0">
                  <c:v>148.56</c:v>
                </c:pt>
                <c:pt idx="1">
                  <c:v>7.35</c:v>
                </c:pt>
                <c:pt idx="2">
                  <c:v>3.13</c:v>
                </c:pt>
                <c:pt idx="3">
                  <c:v>7.79</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7454</Words>
  <Characters>8002</Characters>
  <Lines>7</Lines>
  <Paragraphs>17</Paragraphs>
  <TotalTime>0</TotalTime>
  <ScaleCrop>false</ScaleCrop>
  <LinksUpToDate>false</LinksUpToDate>
  <CharactersWithSpaces>8062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uos</cp:lastModifiedBy>
  <cp:lastPrinted>2009-03-15T00:44:00Z</cp:lastPrinted>
  <dcterms:modified xsi:type="dcterms:W3CDTF">2022-09-02T09:46:44Z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5E3AA354390A461C8EEDA984D21E299D</vt:lpwstr>
  </property>
</Properties>
</file>