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bookmarkStart w:id="0" w:name="_Toc15306267"/>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b/>
          <w:bCs/>
          <w:color w:val="000000"/>
          <w:sz w:val="72"/>
          <w:szCs w:val="72"/>
        </w:rPr>
        <w:t>20</w:t>
      </w:r>
      <w:r>
        <w:rPr>
          <w:rFonts w:hint="eastAsia" w:ascii="黑体" w:hAnsi="黑体" w:eastAsia="黑体"/>
          <w:b/>
          <w:bCs/>
          <w:color w:val="000000"/>
          <w:sz w:val="72"/>
          <w:szCs w:val="72"/>
          <w:lang w:val="en-US" w:eastAsia="zh-CN"/>
        </w:rPr>
        <w:t>20</w:t>
      </w:r>
      <w:r>
        <w:rPr>
          <w:rFonts w:hint="eastAsia" w:ascii="方正小标宋简体" w:hAnsi="宋体" w:eastAsia="方正小标宋简体"/>
          <w:b/>
          <w:bCs/>
          <w:color w:val="000000"/>
          <w:sz w:val="72"/>
          <w:szCs w:val="72"/>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6" w:name="_Toc15378442"/>
      <w:bookmarkStart w:id="7" w:name="_Toc15396598"/>
      <w:bookmarkStart w:id="8" w:name="_Toc15377426"/>
      <w:bookmarkStart w:id="9" w:name="_Toc15396476"/>
      <w:bookmarkStart w:id="10" w:name="_Toc15377194"/>
      <w:r>
        <w:rPr>
          <w:rFonts w:hint="eastAsia" w:ascii="方正小标宋简体" w:hAnsi="宋体" w:eastAsia="方正小标宋简体"/>
          <w:b/>
          <w:bCs/>
          <w:color w:val="000000"/>
          <w:sz w:val="72"/>
          <w:szCs w:val="72"/>
        </w:rPr>
        <w:t>四川省广元市</w:t>
      </w:r>
      <w:bookmarkStart w:id="11" w:name="_Toc15306268"/>
      <w:r>
        <w:rPr>
          <w:rFonts w:hint="eastAsia" w:ascii="方正小标宋简体" w:hAnsi="宋体" w:eastAsia="方正小标宋简体"/>
          <w:b/>
          <w:bCs/>
          <w:color w:val="000000"/>
          <w:sz w:val="72"/>
          <w:szCs w:val="72"/>
        </w:rPr>
        <w:t>群工局决算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编</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制</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说</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明</w:t>
      </w:r>
    </w:p>
    <w:p>
      <w:pPr>
        <w:pageBreakBefore w:val="0"/>
        <w:widowControl/>
        <w:kinsoku/>
        <w:wordWrap/>
        <w:overflowPunct/>
        <w:topLinePunct w:val="0"/>
        <w:bidi w:val="0"/>
        <w:spacing w:line="576" w:lineRule="exact"/>
        <w:jc w:val="center"/>
        <w:rPr>
          <w:rFonts w:hint="eastAsia" w:ascii="黑体" w:hAnsi="黑体" w:eastAsia="黑体"/>
          <w:b/>
          <w:bCs/>
          <w:color w:val="000000"/>
          <w:sz w:val="48"/>
          <w:szCs w:val="48"/>
        </w:rPr>
      </w:pPr>
      <w:r>
        <w:rPr>
          <w:rFonts w:ascii="方正小标宋简体" w:hAnsi="宋体" w:eastAsia="方正小标宋简体"/>
          <w:b/>
          <w:bCs/>
          <w:color w:val="000000"/>
          <w:sz w:val="36"/>
          <w:szCs w:val="36"/>
        </w:rPr>
        <w:br w:type="page"/>
      </w:r>
      <w:r>
        <w:rPr>
          <w:rFonts w:hint="eastAsia" w:ascii="黑体" w:hAnsi="黑体" w:eastAsia="黑体"/>
          <w:b/>
          <w:bCs/>
          <w:color w:val="000000"/>
          <w:sz w:val="48"/>
          <w:szCs w:val="48"/>
        </w:rPr>
        <w:t>目录</w:t>
      </w:r>
    </w:p>
    <w:p>
      <w:pPr>
        <w:pStyle w:val="10"/>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lang w:val="en-US" w:eastAsia="zh-CN" w:bidi="ar-SA"/>
        </w:rPr>
        <w:t>公开时间：2020年9月17日</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第一部分 部门概况</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一、基本职能及主要工作</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二、机构设置</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6</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第二部分</w:t>
      </w:r>
      <w:r>
        <w:rPr>
          <w:rFonts w:hint="eastAsia" w:asciiTheme="minorEastAsia" w:hAnsiTheme="minorEastAsia" w:eastAsiaTheme="minorEastAsia" w:cstheme="minorEastAsia"/>
          <w:b/>
          <w:bCs/>
          <w:sz w:val="32"/>
          <w:szCs w:val="36"/>
          <w:lang w:val="en-US" w:eastAsia="zh-CN"/>
        </w:rPr>
        <w:t xml:space="preserve"> 2020年度</w:t>
      </w:r>
      <w:r>
        <w:rPr>
          <w:rFonts w:hint="eastAsia" w:asciiTheme="minorEastAsia" w:hAnsiTheme="minorEastAsia" w:eastAsiaTheme="minorEastAsia" w:cstheme="minorEastAsia"/>
          <w:b/>
          <w:bCs/>
          <w:sz w:val="32"/>
          <w:szCs w:val="36"/>
        </w:rPr>
        <w:t>部门决算情况说明</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7</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7</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五、一般公共预算财政拨款支出决算情况说明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六、一般公共预算财政拨款基本支出决算情况说明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七、“三公”经费财政拨款支出决算情况说明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八、政府性基金预算支出决算情况说明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13</w:t>
      </w:r>
    </w:p>
    <w:p>
      <w:pPr>
        <w:pStyle w:val="11"/>
        <w:pageBreakBefore w:val="0"/>
        <w:kinsoku/>
        <w:wordWrap/>
        <w:overflowPunct/>
        <w:topLinePunct w:val="0"/>
        <w:bidi w:val="0"/>
        <w:adjustRightInd w:val="0"/>
        <w:snapToGrid w:val="0"/>
        <w:spacing w:line="576" w:lineRule="exact"/>
        <w:ind w:leftChars="0"/>
        <w:jc w:val="both"/>
        <w:rPr>
          <w:rStyle w:val="26"/>
          <w:rFonts w:hint="default" w:ascii="仿宋" w:hAnsi="仿宋" w:eastAsia="仿宋"/>
          <w:b/>
          <w:bCs/>
          <w:lang w:val="en-US" w:eastAsia="zh-CN" w:bidi="ar-SA"/>
        </w:rPr>
      </w:pPr>
      <w:r>
        <w:rPr>
          <w:rFonts w:hint="eastAsia" w:asciiTheme="minorEastAsia" w:hAnsiTheme="minorEastAsia" w:eastAsiaTheme="minorEastAsia" w:cstheme="minorEastAsia"/>
          <w:b/>
          <w:bCs/>
          <w:sz w:val="32"/>
          <w:szCs w:val="32"/>
        </w:rPr>
        <w:t>九、 国有资本经营预算支出决算情况说明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jc w:val="both"/>
        <w:rPr>
          <w:rStyle w:val="26"/>
          <w:rFonts w:hint="default" w:ascii="仿宋" w:hAnsi="仿宋" w:eastAsia="仿宋"/>
          <w:b/>
          <w:bCs/>
          <w:lang w:val="en-US" w:eastAsia="zh-CN" w:bidi="ar-SA"/>
        </w:rPr>
      </w:pPr>
      <w:r>
        <w:rPr>
          <w:rStyle w:val="26"/>
          <w:rFonts w:hint="eastAsia" w:ascii="仿宋" w:hAnsi="仿宋" w:eastAsia="仿宋"/>
          <w:b/>
          <w:bCs/>
          <w:lang w:val="en-US" w:eastAsia="zh-CN" w:bidi="ar-SA"/>
        </w:rPr>
        <w:t xml:space="preserve"> </w:t>
      </w:r>
      <w:r>
        <w:rPr>
          <w:rStyle w:val="26"/>
          <w:rFonts w:hint="eastAsia" w:asciiTheme="minorEastAsia" w:hAnsiTheme="minorEastAsia" w:eastAsiaTheme="minorEastAsia" w:cstheme="minorEastAsia"/>
          <w:b/>
          <w:bCs/>
          <w:sz w:val="32"/>
          <w:szCs w:val="32"/>
          <w:lang w:val="en-US" w:eastAsia="zh-CN" w:bidi="ar-SA"/>
        </w:rPr>
        <w:t xml:space="preserve"> </w:t>
      </w:r>
      <w:r>
        <w:rPr>
          <w:rFonts w:hint="eastAsia" w:asciiTheme="minorEastAsia" w:hAnsiTheme="minorEastAsia" w:eastAsiaTheme="minorEastAsia" w:cstheme="minorEastAsia"/>
          <w:b/>
          <w:bCs/>
          <w:kern w:val="2"/>
          <w:sz w:val="32"/>
          <w:szCs w:val="32"/>
          <w:lang w:val="en-US" w:eastAsia="zh-CN" w:bidi="ar-SA"/>
        </w:rPr>
        <w:t>十、其他重要事项的情况说明</w:t>
      </w:r>
      <w:r>
        <w:rPr>
          <w:rStyle w:val="26"/>
          <w:rFonts w:hint="eastAsia" w:ascii="仿宋" w:hAnsi="仿宋" w:eastAsia="仿宋"/>
          <w:b/>
          <w:bCs/>
          <w:lang w:val="en-US" w:eastAsia="zh-CN" w:bidi="ar-SA"/>
        </w:rPr>
        <w:t>……………………………14</w:t>
      </w:r>
    </w:p>
    <w:p>
      <w:pPr>
        <w:jc w:val="both"/>
        <w:rPr>
          <w:rFonts w:hint="default" w:asciiTheme="minorEastAsia" w:hAnsiTheme="minorEastAsia" w:eastAsiaTheme="minorEastAsia" w:cstheme="minorEastAsia"/>
          <w:b/>
          <w:bCs/>
          <w:sz w:val="32"/>
          <w:szCs w:val="32"/>
          <w:lang w:val="en-US"/>
        </w:rPr>
      </w:pPr>
      <w:r>
        <w:rPr>
          <w:rStyle w:val="26"/>
          <w:rFonts w:hint="eastAsia" w:ascii="仿宋" w:hAnsi="仿宋" w:eastAsia="仿宋"/>
          <w:b/>
          <w:bCs/>
          <w:lang w:val="en-US" w:eastAsia="zh-CN" w:bidi="ar-SA"/>
        </w:rPr>
        <w:t>第三部分 名词解释…………………………………………24</w:t>
      </w:r>
      <w:r>
        <w:rPr>
          <w:rFonts w:hint="eastAsia" w:asciiTheme="minorEastAsia" w:hAnsiTheme="minorEastAsia" w:eastAsiaTheme="minorEastAsia" w:cstheme="minorEastAsia"/>
          <w:b/>
          <w:bCs/>
          <w:sz w:val="32"/>
          <w:szCs w:val="36"/>
        </w:rPr>
        <w:t>第四部分 附件</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附件1</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26</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附件2</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29</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第五部分 附表</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五、财政拨款支出决算明细表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Style w:val="26"/>
          <w:rFonts w:hint="eastAsia" w:ascii="仿宋" w:hAnsi="仿宋" w:eastAsia="仿宋"/>
          <w:b/>
          <w:bCs/>
          <w:lang w:val="en-US" w:eastAsia="zh-CN" w:bidi="ar-SA"/>
        </w:rPr>
      </w:pPr>
      <w:r>
        <w:rPr>
          <w:rFonts w:hint="eastAsia" w:asciiTheme="minorEastAsia" w:hAnsiTheme="minorEastAsia" w:eastAsiaTheme="minorEastAsia" w:cstheme="minorEastAsia"/>
          <w:b/>
          <w:bCs/>
          <w:sz w:val="32"/>
          <w:szCs w:val="32"/>
        </w:rPr>
        <w:t>七、一般公共预算财政拨款支出决算明细表</w:t>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Style w:val="26"/>
          <w:rFonts w:hint="eastAsia" w:ascii="仿宋" w:hAnsi="仿宋" w:eastAsia="仿宋"/>
          <w:b/>
          <w:bCs/>
          <w:lang w:val="en-US" w:eastAsia="zh-CN" w:bidi="ar-SA"/>
        </w:rPr>
      </w:pPr>
      <w:r>
        <w:rPr>
          <w:rFonts w:hint="eastAsia" w:asciiTheme="minorEastAsia" w:hAnsiTheme="minorEastAsia" w:eastAsiaTheme="minorEastAsia" w:cstheme="minorEastAsia"/>
          <w:b/>
          <w:bCs/>
          <w:sz w:val="32"/>
          <w:szCs w:val="32"/>
        </w:rPr>
        <w:t>八、一般公共预算财政拨款基本支出决算表</w:t>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九、一般公共预算财政拨款项目支出决算表</w:t>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十、一般公共预算财政拨款“三公”经费支出决算表</w:t>
      </w:r>
      <w:r>
        <w:rPr>
          <w:rStyle w:val="26"/>
          <w:rFonts w:hint="eastAsia" w:ascii="仿宋" w:hAnsi="仿宋" w:eastAsia="仿宋"/>
          <w:b/>
          <w:bCs/>
          <w:lang w:val="en-US" w:eastAsia="zh-CN" w:bidi="ar-SA"/>
        </w:rPr>
        <w:t>…44</w:t>
      </w:r>
      <w:r>
        <w:rPr>
          <w:rFonts w:hint="eastAsia" w:asciiTheme="minorEastAsia" w:hAnsiTheme="minorEastAsia" w:eastAsiaTheme="minorEastAsia" w:cstheme="minorEastAsia"/>
          <w:b/>
          <w:bCs/>
          <w:sz w:val="32"/>
          <w:szCs w:val="32"/>
        </w:rPr>
        <w:t>十一、政府性基金预算财政拨款收入支出决算表</w:t>
      </w:r>
      <w:r>
        <w:rPr>
          <w:rStyle w:val="26"/>
          <w:rFonts w:hint="eastAsia" w:ascii="仿宋" w:hAnsi="仿宋" w:eastAsia="仿宋"/>
          <w:b/>
          <w:bCs/>
          <w:lang w:val="en-US" w:eastAsia="zh-CN" w:bidi="ar-SA"/>
        </w:rPr>
        <w:t>………44</w:t>
      </w:r>
      <w:r>
        <w:rPr>
          <w:rFonts w:hint="eastAsia" w:asciiTheme="minorEastAsia" w:hAnsiTheme="minorEastAsia" w:eastAsiaTheme="minorEastAsia" w:cstheme="minorEastAsia"/>
          <w:b/>
          <w:bCs/>
          <w:sz w:val="32"/>
          <w:szCs w:val="32"/>
        </w:rPr>
        <w:t>十二、</w:t>
      </w:r>
      <w:r>
        <w:rPr>
          <w:rFonts w:hint="eastAsia" w:asciiTheme="minorEastAsia" w:hAnsiTheme="minorEastAsia" w:eastAsiaTheme="minorEastAsia" w:cstheme="minorEastAsia"/>
          <w:b/>
          <w:bCs/>
          <w:spacing w:val="-20"/>
          <w:sz w:val="32"/>
          <w:szCs w:val="32"/>
        </w:rPr>
        <w:t>政府性基金预算财政拨款“三公”经费支</w:t>
      </w:r>
      <w:r>
        <w:rPr>
          <w:rFonts w:hint="eastAsia" w:asciiTheme="minorEastAsia" w:hAnsiTheme="minorEastAsia" w:eastAsiaTheme="minorEastAsia" w:cstheme="minorEastAsia"/>
          <w:b/>
          <w:bCs/>
          <w:sz w:val="32"/>
          <w:szCs w:val="32"/>
        </w:rPr>
        <w:t>出决算表</w:t>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Style w:val="26"/>
          <w:rFonts w:hint="eastAsia" w:ascii="仿宋" w:hAnsi="仿宋" w:eastAsia="仿宋"/>
          <w:b/>
          <w:bCs/>
          <w:lang w:val="en-US" w:eastAsia="zh-CN" w:bidi="ar-SA"/>
        </w:rPr>
      </w:pPr>
      <w:r>
        <w:rPr>
          <w:rFonts w:hint="eastAsia" w:asciiTheme="minorEastAsia" w:hAnsiTheme="minorEastAsia" w:eastAsiaTheme="minorEastAsia" w:cstheme="minorEastAsia"/>
          <w:b/>
          <w:bCs/>
          <w:sz w:val="32"/>
          <w:szCs w:val="32"/>
        </w:rPr>
        <w:t>十三、</w:t>
      </w:r>
      <w:r>
        <w:rPr>
          <w:rFonts w:hint="eastAsia" w:asciiTheme="minorEastAsia" w:hAnsiTheme="minorEastAsia" w:eastAsiaTheme="minorEastAsia" w:cstheme="minorEastAsia"/>
          <w:b/>
          <w:bCs/>
          <w:spacing w:val="-20"/>
          <w:sz w:val="32"/>
          <w:szCs w:val="32"/>
        </w:rPr>
        <w:t>国有资本经营预算</w:t>
      </w:r>
      <w:r>
        <w:rPr>
          <w:rFonts w:hint="eastAsia" w:asciiTheme="minorEastAsia" w:hAnsiTheme="minorEastAsia" w:eastAsiaTheme="minorEastAsia" w:cstheme="minorEastAsia"/>
          <w:b/>
          <w:bCs/>
          <w:spacing w:val="-20"/>
          <w:sz w:val="32"/>
          <w:szCs w:val="32"/>
          <w:lang w:eastAsia="zh-CN"/>
        </w:rPr>
        <w:t>财政拨款收入</w:t>
      </w:r>
      <w:r>
        <w:rPr>
          <w:rFonts w:hint="eastAsia" w:asciiTheme="minorEastAsia" w:hAnsiTheme="minorEastAsia" w:eastAsiaTheme="minorEastAsia" w:cstheme="minorEastAsia"/>
          <w:b/>
          <w:bCs/>
          <w:spacing w:val="-20"/>
          <w:sz w:val="32"/>
          <w:szCs w:val="32"/>
        </w:rPr>
        <w:t>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bookmarkStart w:id="12" w:name="_Toc15377196"/>
      <w:bookmarkStart w:id="13" w:name="_Toc15396599"/>
    </w:p>
    <w:p>
      <w:pPr>
        <w:pStyle w:val="11"/>
        <w:pageBreakBefore w:val="0"/>
        <w:kinsoku/>
        <w:wordWrap/>
        <w:overflowPunct/>
        <w:topLinePunct w:val="0"/>
        <w:bidi w:val="0"/>
        <w:adjustRightInd w:val="0"/>
        <w:snapToGrid w:val="0"/>
        <w:spacing w:line="576" w:lineRule="exact"/>
        <w:jc w:val="both"/>
        <w:rPr>
          <w:rFonts w:hint="default" w:ascii="仿宋" w:hAnsi="仿宋" w:eastAsia="仿宋"/>
          <w:b/>
          <w:bCs/>
          <w:color w:val="000000" w:themeColor="text1"/>
          <w:lang w:val="en-US"/>
          <w14:textFill>
            <w14:solidFill>
              <w14:schemeClr w14:val="tx1"/>
            </w14:solidFill>
          </w14:textFill>
        </w:rPr>
      </w:pPr>
      <w:r>
        <w:rPr>
          <w:rStyle w:val="26"/>
          <w:rFonts w:hint="eastAsia" w:ascii="仿宋" w:hAnsi="仿宋" w:eastAsia="仿宋"/>
          <w:b/>
          <w:bCs/>
          <w:lang w:eastAsia="zh-CN"/>
        </w:rPr>
        <w:t>十四、</w:t>
      </w:r>
      <w:r>
        <w:rPr>
          <w:rFonts w:hint="eastAsia" w:asciiTheme="minorEastAsia" w:hAnsiTheme="minorEastAsia" w:eastAsiaTheme="minorEastAsia" w:cstheme="minorEastAsia"/>
          <w:b/>
          <w:bCs/>
          <w:spacing w:val="-20"/>
          <w:sz w:val="32"/>
          <w:szCs w:val="32"/>
        </w:rPr>
        <w:t>国有资本经营预算</w:t>
      </w:r>
      <w:r>
        <w:rPr>
          <w:rFonts w:hint="eastAsia" w:asciiTheme="minorEastAsia" w:hAnsiTheme="minorEastAsia" w:eastAsiaTheme="minorEastAsia" w:cstheme="minorEastAsia"/>
          <w:b/>
          <w:bCs/>
          <w:spacing w:val="-20"/>
          <w:sz w:val="32"/>
          <w:szCs w:val="32"/>
          <w:lang w:eastAsia="zh-CN"/>
        </w:rPr>
        <w:t>财政拨款</w:t>
      </w:r>
      <w:r>
        <w:rPr>
          <w:rFonts w:hint="eastAsia" w:asciiTheme="minorEastAsia" w:hAnsiTheme="minorEastAsia" w:eastAsiaTheme="minorEastAsia" w:cstheme="minorEastAsia"/>
          <w:b/>
          <w:bCs/>
          <w:spacing w:val="-20"/>
          <w:sz w:val="32"/>
          <w:szCs w:val="32"/>
        </w:rPr>
        <w:t>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ageBreakBefore w:val="0"/>
        <w:widowControl/>
        <w:kinsoku/>
        <w:wordWrap/>
        <w:overflowPunct/>
        <w:topLinePunct w:val="0"/>
        <w:bidi w:val="0"/>
        <w:spacing w:line="576" w:lineRule="exact"/>
        <w:jc w:val="left"/>
        <w:rPr>
          <w:rFonts w:hint="eastAsia" w:asciiTheme="minorEastAsia" w:hAnsiTheme="minorEastAsia" w:eastAsiaTheme="minorEastAsia" w:cstheme="minorEastAsia"/>
          <w:b/>
          <w:bCs/>
          <w:kern w:val="44"/>
          <w:sz w:val="32"/>
          <w:szCs w:val="32"/>
        </w:rPr>
      </w:pPr>
      <w:r>
        <w:rPr>
          <w:rFonts w:hint="eastAsia" w:asciiTheme="minorEastAsia" w:hAnsiTheme="minorEastAsia" w:eastAsiaTheme="minorEastAsia" w:cstheme="minorEastAsia"/>
          <w:b/>
          <w:bCs/>
          <w:sz w:val="32"/>
          <w:szCs w:val="32"/>
        </w:rPr>
        <w:br w:type="page"/>
      </w:r>
    </w:p>
    <w:p>
      <w:pPr>
        <w:pStyle w:val="3"/>
        <w:pageBreakBefore w:val="0"/>
        <w:kinsoku/>
        <w:wordWrap/>
        <w:overflowPunct/>
        <w:topLinePunct w:val="0"/>
        <w:bidi w:val="0"/>
        <w:spacing w:line="576" w:lineRule="exact"/>
        <w:jc w:val="center"/>
        <w:rPr>
          <w:rFonts w:hint="eastAsia" w:ascii="方正小标宋简体" w:hAnsi="华文中宋" w:eastAsia="方正小标宋简体" w:cstheme="minorBidi"/>
          <w:b/>
          <w:bCs/>
          <w:color w:val="000000"/>
          <w:kern w:val="2"/>
          <w:sz w:val="44"/>
          <w:szCs w:val="44"/>
          <w:lang w:val="en-US" w:eastAsia="zh-CN" w:bidi="ar-SA"/>
        </w:rPr>
      </w:pPr>
      <w:r>
        <w:rPr>
          <w:rFonts w:hint="eastAsia" w:ascii="方正小标宋简体" w:hAnsi="华文中宋" w:eastAsia="方正小标宋简体" w:cstheme="minorBidi"/>
          <w:b/>
          <w:bCs/>
          <w:color w:val="000000"/>
          <w:kern w:val="2"/>
          <w:sz w:val="44"/>
          <w:szCs w:val="44"/>
          <w:lang w:val="en-US" w:eastAsia="zh-CN" w:bidi="ar-SA"/>
        </w:rPr>
        <w:t>第一部分 部门概况</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黑体" w:hAnsi="黑体" w:eastAsia="黑体" w:cs="黑体"/>
          <w:b/>
          <w:bCs/>
          <w:color w:val="000000"/>
          <w:sz w:val="32"/>
          <w:szCs w:val="32"/>
        </w:rPr>
      </w:pPr>
      <w:bookmarkStart w:id="14" w:name="_Toc15396600"/>
      <w:bookmarkStart w:id="15" w:name="_Toc15377197"/>
      <w:r>
        <w:rPr>
          <w:rFonts w:hint="eastAsia" w:ascii="黑体" w:hAnsi="黑体" w:eastAsia="黑体" w:cs="黑体"/>
          <w:b/>
          <w:bCs/>
          <w:color w:val="000000"/>
          <w:sz w:val="32"/>
          <w:szCs w:val="32"/>
        </w:rPr>
        <w:t>一、基本职能及主要工作</w:t>
      </w:r>
      <w:bookmarkEnd w:id="14"/>
      <w:bookmarkEnd w:id="15"/>
      <w:bookmarkStart w:id="16" w:name="_Toc15378445"/>
      <w:bookmarkStart w:id="17" w:name="_Toc1537719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负责处理市内外群众给市委、市政府的来信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接待群众来访</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及时准确地向市委、市政府领导反映来信来访中提出的重要建议、意见和问题</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综合分析信访信息</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开展调查研究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提出制定有关政策的建议</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承办党中央、国务院</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省委、省政府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市委、市政府及市委办公室、市政府办公室领导同志交办的群众工作和信访事项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督促检查领导同志对有关群众工作和信访批示的</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情况</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向县区、广元经济开发区、市级部门交办群众</w:t>
      </w:r>
      <w:r>
        <w:rPr>
          <w:rFonts w:hint="eastAsia" w:ascii="仿宋_GB2312" w:hAnsi="仿宋_GB2312" w:eastAsia="仿宋_GB2312" w:cs="仿宋_GB2312"/>
          <w:b/>
          <w:bCs/>
          <w:sz w:val="32"/>
          <w:szCs w:val="32"/>
          <w:lang w:eastAsia="zh-CN"/>
        </w:rPr>
        <w:t>工</w:t>
      </w:r>
      <w:r>
        <w:rPr>
          <w:rFonts w:hint="eastAsia" w:ascii="仿宋_GB2312" w:hAnsi="仿宋_GB2312" w:eastAsia="仿宋_GB2312" w:cs="仿宋_GB2312"/>
          <w:b/>
          <w:bCs/>
          <w:sz w:val="32"/>
          <w:szCs w:val="32"/>
        </w:rPr>
        <w:t>作和信访事项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督促检查重要群众工作和信访事项处理和落实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负责群众工作和信访案件的复查复核工作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调处理跨县区和部门的重要群众工作和信访</w:t>
      </w:r>
      <w:r>
        <w:rPr>
          <w:rFonts w:hint="eastAsia" w:ascii="仿宋_GB2312" w:hAnsi="仿宋_GB2312" w:eastAsia="仿宋_GB2312" w:cs="仿宋_GB2312"/>
          <w:b/>
          <w:bCs/>
          <w:sz w:val="32"/>
          <w:szCs w:val="32"/>
          <w:lang w:eastAsia="zh-CN"/>
        </w:rPr>
        <w:t>问题，协调</w:t>
      </w:r>
      <w:r>
        <w:rPr>
          <w:rFonts w:hint="eastAsia" w:ascii="仿宋_GB2312" w:hAnsi="仿宋_GB2312" w:eastAsia="仿宋_GB2312" w:cs="仿宋_GB2312"/>
          <w:b/>
          <w:bCs/>
          <w:sz w:val="32"/>
          <w:szCs w:val="32"/>
        </w:rPr>
        <w:t>处理群众</w:t>
      </w:r>
      <w:r>
        <w:rPr>
          <w:rFonts w:hint="eastAsia" w:ascii="仿宋_GB2312" w:hAnsi="仿宋_GB2312" w:eastAsia="仿宋_GB2312" w:cs="仿宋_GB2312"/>
          <w:b/>
          <w:bCs/>
          <w:sz w:val="32"/>
          <w:szCs w:val="32"/>
          <w:lang w:eastAsia="zh-CN"/>
        </w:rPr>
        <w:t>集体</w:t>
      </w:r>
      <w:r>
        <w:rPr>
          <w:rFonts w:hint="eastAsia" w:ascii="仿宋_GB2312" w:hAnsi="仿宋_GB2312" w:eastAsia="仿宋_GB2312" w:cs="仿宋_GB2312"/>
          <w:b/>
          <w:bCs/>
          <w:sz w:val="32"/>
          <w:szCs w:val="32"/>
        </w:rPr>
        <w:t>到</w:t>
      </w:r>
      <w:r>
        <w:rPr>
          <w:rFonts w:hint="eastAsia" w:ascii="仿宋_GB2312" w:hAnsi="仿宋_GB2312" w:eastAsia="仿宋_GB2312" w:cs="仿宋_GB2312"/>
          <w:b/>
          <w:bCs/>
          <w:sz w:val="32"/>
          <w:szCs w:val="32"/>
          <w:lang w:eastAsia="zh-CN"/>
        </w:rPr>
        <w:t>市委</w:t>
      </w: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政府及</w:t>
      </w:r>
      <w:r>
        <w:rPr>
          <w:rFonts w:hint="eastAsia" w:ascii="仿宋_GB2312" w:hAnsi="仿宋_GB2312" w:eastAsia="仿宋_GB2312" w:cs="仿宋_GB2312"/>
          <w:b/>
          <w:bCs/>
          <w:sz w:val="32"/>
          <w:szCs w:val="32"/>
        </w:rPr>
        <w:t>有关</w:t>
      </w:r>
      <w:r>
        <w:rPr>
          <w:rFonts w:hint="eastAsia" w:ascii="仿宋_GB2312" w:hAnsi="仿宋_GB2312" w:eastAsia="仿宋_GB2312" w:cs="仿宋_GB2312"/>
          <w:b/>
          <w:bCs/>
          <w:sz w:val="32"/>
          <w:szCs w:val="32"/>
          <w:lang w:eastAsia="zh-CN"/>
        </w:rPr>
        <w:t>部门</w:t>
      </w:r>
      <w:r>
        <w:rPr>
          <w:rFonts w:hint="eastAsia" w:ascii="仿宋_GB2312" w:hAnsi="仿宋_GB2312" w:eastAsia="仿宋_GB2312" w:cs="仿宋_GB2312"/>
          <w:b/>
          <w:bCs/>
          <w:sz w:val="32"/>
          <w:szCs w:val="32"/>
        </w:rPr>
        <w:t>上访和突发性群体性事件</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检查、指导、协调全市群众和信访工作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负责全市信访信息系统建设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研究、起草全市群众和信访工作规范性文件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总结推广各地、部门群众和信访工作的经验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提出加强和改进群众和信访工作的意见和建议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通报重大群众和信访问题及事件</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保证信访渠道畅通</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负责协调市领导接待群众来访和</w:t>
      </w:r>
      <w:r>
        <w:rPr>
          <w:rFonts w:hint="eastAsia" w:ascii="仿宋_GB2312" w:hAnsi="仿宋_GB2312" w:eastAsia="仿宋_GB2312" w:cs="仿宋_GB2312"/>
          <w:b/>
          <w:bCs/>
          <w:sz w:val="32"/>
          <w:szCs w:val="32"/>
          <w:highlight w:val="none"/>
          <w:lang w:eastAsia="zh-CN"/>
        </w:rPr>
        <w:t>报案</w:t>
      </w:r>
      <w:r>
        <w:rPr>
          <w:rFonts w:hint="eastAsia" w:ascii="仿宋_GB2312" w:hAnsi="仿宋_GB2312" w:eastAsia="仿宋_GB2312" w:cs="仿宋_GB2312"/>
          <w:b/>
          <w:bCs/>
          <w:sz w:val="32"/>
          <w:szCs w:val="32"/>
        </w:rPr>
        <w:t>处理信访案件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负责联系市党代表、市人大代表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市政协委员定期参与接待群众来访工作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协调处置赴京、到省非正常上访工作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负责处理</w:t>
      </w:r>
      <w:r>
        <w:rPr>
          <w:rFonts w:hint="eastAsia" w:ascii="仿宋_GB2312" w:hAnsi="仿宋_GB2312" w:eastAsia="仿宋_GB2312" w:cs="仿宋_GB2312"/>
          <w:b/>
          <w:bCs/>
          <w:sz w:val="32"/>
          <w:szCs w:val="32"/>
          <w:lang w:eastAsia="zh-CN"/>
        </w:rPr>
        <w:t>市信访工作联席会议</w:t>
      </w:r>
      <w:r>
        <w:rPr>
          <w:rFonts w:hint="eastAsia" w:ascii="仿宋_GB2312" w:hAnsi="仿宋_GB2312" w:eastAsia="仿宋_GB2312" w:cs="仿宋_GB2312"/>
          <w:b/>
          <w:bCs/>
          <w:sz w:val="32"/>
          <w:szCs w:val="32"/>
        </w:rPr>
        <w:t>综合协调和日常性工作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负责市群众工作中心建设及日常管理工作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ascii="仿宋" w:hAnsi="仿宋" w:eastAsia="仿宋"/>
          <w:b/>
          <w:bCs/>
          <w:color w:val="000000"/>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承办省</w:t>
      </w:r>
      <w:r>
        <w:rPr>
          <w:rFonts w:hint="eastAsia" w:ascii="仿宋_GB2312" w:hAnsi="仿宋_GB2312" w:eastAsia="仿宋_GB2312" w:cs="仿宋_GB2312"/>
          <w:b/>
          <w:bCs/>
          <w:sz w:val="32"/>
          <w:szCs w:val="32"/>
          <w:lang w:eastAsia="zh-CN"/>
        </w:rPr>
        <w:t>信访局</w:t>
      </w:r>
      <w:r>
        <w:rPr>
          <w:rFonts w:hint="eastAsia" w:ascii="仿宋_GB2312" w:hAnsi="仿宋_GB2312" w:eastAsia="仿宋_GB2312" w:cs="仿宋_GB2312"/>
          <w:b/>
          <w:bCs/>
          <w:sz w:val="32"/>
          <w:szCs w:val="32"/>
        </w:rPr>
        <w:t>、市委市政府领导交办的其他事项</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firstLine="674" w:firstLineChars="210"/>
        <w:textAlignment w:val="auto"/>
        <w:outlineLvl w:val="2"/>
        <w:rPr>
          <w:rFonts w:hint="eastAsia" w:ascii="楷体_GB2312" w:hAnsi="楷体_GB2312" w:eastAsia="楷体_GB2312" w:cs="楷体_GB2312"/>
          <w:b/>
          <w:bCs/>
          <w:kern w:val="2"/>
          <w:sz w:val="32"/>
          <w:szCs w:val="32"/>
          <w:lang w:val="en-US" w:eastAsia="zh-CN" w:bidi="ar-SA"/>
        </w:rPr>
      </w:pPr>
      <w:bookmarkStart w:id="18" w:name="_Toc15378446"/>
      <w:bookmarkStart w:id="19" w:name="_Toc15377199"/>
      <w:r>
        <w:rPr>
          <w:rFonts w:hint="eastAsia" w:ascii="楷体_GB2312" w:hAnsi="楷体_GB2312" w:eastAsia="楷体_GB2312" w:cs="楷体_GB2312"/>
          <w:b/>
          <w:bCs/>
          <w:kern w:val="2"/>
          <w:sz w:val="32"/>
          <w:szCs w:val="32"/>
          <w:lang w:val="en-US" w:eastAsia="zh-CN" w:bidi="ar-SA"/>
        </w:rPr>
        <w:t>（二）2020年重点工作完成情况。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全年共接待群众来访919批4472人次、接办群众来信7848件；信访部门及时受理率99.95%，责任单位及时受理率 99.49%,信访事项按期答复率99.79%,信访群众满意度参评率99.57%，群众对信访部门满意率99.37%,对责任单位满意率98.10%。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启动为期三年的集中治理重复信访、化解信访积案专项工作，中央、省、市排查交办的508件积案重复信访事项全部明确县级以上领导包案，市级领导带头包案化解60件钉子案、骨头案。建立目标导向的积案难案化解促进机制，创新开展化解质量“大比武”；完善信访联席会议统筹协调机制，主动搭台召开各类协调会、专题会36次，多次跨区域协调，重复信访市县协同逐案分析研究，有效推进信访突出问题化解，今年中央、省交办案件化解率达到了25%，超额完成中央、省下目标任务。化解涉众、进京到省、缠闹访积案难案170件，化解长达5年以上的积案26件、群体性信访案件14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积极促进政策转化，实现同类问题政策性化解，推动行业领域健康发展，特别是问题楼盘办证问题，市委将其纳入“不忘初心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牢记使命”主题教育专项治理，实现了政策性突破，有效解决了万余群众切身利益问题；疫情常态防控下商铺租金问题在有效调处的同时，市委市政府出台了推进商务领域有序运转政策性措施。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黑体" w:hAnsi="黑体" w:eastAsia="黑体" w:cs="黑体"/>
          <w:b/>
          <w:bCs/>
          <w:color w:val="000000"/>
          <w:sz w:val="32"/>
          <w:szCs w:val="32"/>
          <w:lang w:val="en-US" w:eastAsia="zh-CN"/>
        </w:rPr>
      </w:pPr>
      <w:bookmarkStart w:id="20" w:name="_Toc15396601"/>
      <w:bookmarkStart w:id="21" w:name="_Toc15377200"/>
      <w:r>
        <w:rPr>
          <w:rFonts w:hint="eastAsia" w:ascii="黑体" w:hAnsi="黑体" w:eastAsia="黑体" w:cs="黑体"/>
          <w:b/>
          <w:bCs/>
          <w:color w:val="000000"/>
          <w:sz w:val="32"/>
          <w:szCs w:val="32"/>
          <w:lang w:val="en-US" w:eastAsia="zh-CN"/>
        </w:rPr>
        <w:t>二、机构设置</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市委群工局下属二级单位1个，其中行政单位1个，直属事业单位1个。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2" w:firstLineChars="200"/>
        <w:textAlignment w:val="auto"/>
        <w:outlineLvl w:val="9"/>
        <w:rPr>
          <w:rFonts w:hint="eastAsia" w:ascii="仿宋_GB2312" w:hAnsi="仿宋_GB2312" w:eastAsia="仿宋_GB2312" w:cs="仿宋_GB2312"/>
          <w:b/>
          <w:bCs/>
          <w:sz w:val="32"/>
          <w:szCs w:val="32"/>
          <w:lang w:val="en-US" w:eastAsia="zh-CN"/>
        </w:rPr>
      </w:pPr>
      <w:bookmarkStart w:id="22" w:name="_Toc15378448"/>
      <w:bookmarkStart w:id="23" w:name="_Toc15377432"/>
      <w:bookmarkStart w:id="24" w:name="_Toc15377201"/>
      <w:bookmarkStart w:id="25" w:name="_Toc15306275"/>
      <w:r>
        <w:rPr>
          <w:rFonts w:hint="eastAsia" w:ascii="仿宋_GB2312" w:hAnsi="仿宋_GB2312" w:eastAsia="仿宋_GB2312" w:cs="仿宋_GB2312"/>
          <w:b/>
          <w:bCs/>
          <w:sz w:val="32"/>
          <w:szCs w:val="32"/>
          <w:lang w:val="en-US" w:eastAsia="zh-CN"/>
        </w:rPr>
        <w:t>纳入市委群工局2020年部门预算编制范围的二级预算单位包括：市群众工作中心。</w:t>
      </w:r>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2"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pStyle w:val="3"/>
        <w:pageBreakBefore w:val="0"/>
        <w:kinsoku/>
        <w:wordWrap/>
        <w:overflowPunct/>
        <w:topLinePunct w:val="0"/>
        <w:bidi w:val="0"/>
        <w:spacing w:line="576" w:lineRule="exact"/>
        <w:jc w:val="center"/>
        <w:rPr>
          <w:b/>
          <w:bCs/>
        </w:rPr>
      </w:pPr>
      <w:bookmarkStart w:id="26" w:name="_Toc15396602"/>
      <w:bookmarkStart w:id="27" w:name="_Toc15377204"/>
      <w:r>
        <w:rPr>
          <w:rFonts w:hint="eastAsia" w:ascii="方正小标宋简体" w:hAnsi="华文中宋" w:eastAsia="方正小标宋简体" w:cstheme="minorBidi"/>
          <w:b/>
          <w:bCs/>
          <w:color w:val="000000"/>
          <w:kern w:val="2"/>
          <w:sz w:val="44"/>
          <w:szCs w:val="44"/>
          <w:lang w:val="en-US" w:eastAsia="zh-CN" w:bidi="ar-SA"/>
        </w:rPr>
        <w:t>第二部分 2020年度部门决算情况说明</w:t>
      </w:r>
      <w:bookmarkEnd w:id="26"/>
      <w:bookmarkEnd w:id="27"/>
    </w:p>
    <w:p>
      <w:pPr>
        <w:pStyle w:val="24"/>
        <w:pageBreakBefore w:val="0"/>
        <w:numPr>
          <w:ilvl w:val="0"/>
          <w:numId w:val="0"/>
        </w:numPr>
        <w:kinsoku/>
        <w:wordWrap/>
        <w:overflowPunct/>
        <w:topLinePunct w:val="0"/>
        <w:bidi w:val="0"/>
        <w:spacing w:line="576" w:lineRule="exact"/>
        <w:ind w:firstLine="642" w:firstLineChars="200"/>
        <w:outlineLvl w:val="1"/>
        <w:rPr>
          <w:rFonts w:hint="eastAsia" w:ascii="黑体" w:hAnsi="黑体" w:eastAsia="黑体" w:cs="黑体"/>
          <w:b/>
          <w:bCs/>
          <w:color w:val="auto"/>
          <w:kern w:val="2"/>
          <w:sz w:val="32"/>
          <w:szCs w:val="32"/>
          <w:lang w:val="en-US" w:eastAsia="zh-CN" w:bidi="ar-SA"/>
        </w:rPr>
      </w:pPr>
      <w:bookmarkStart w:id="28" w:name="_Toc15396603"/>
      <w:bookmarkStart w:id="29" w:name="_Toc15377205"/>
      <w:r>
        <w:rPr>
          <w:rFonts w:hint="eastAsia" w:ascii="黑体" w:hAnsi="黑体" w:eastAsia="黑体" w:cs="黑体"/>
          <w:b/>
          <w:bCs/>
          <w:color w:val="auto"/>
          <w:kern w:val="2"/>
          <w:sz w:val="32"/>
          <w:szCs w:val="32"/>
          <w:lang w:val="en-US" w:eastAsia="zh-CN" w:bidi="ar-SA"/>
        </w:rPr>
        <w:t>一、收入支出决算总体情况说明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2020年度收、支总计525.50万元。与2019年相比，收、支总计各减少55.91万元，下降9.61%，主要变动原因是人员调出相关经费减少。</w:t>
      </w:r>
    </w:p>
    <w:p>
      <w:pPr>
        <w:pStyle w:val="2"/>
        <w:rPr>
          <w:rFonts w:hint="eastAsia" w:ascii="仿宋_GB2312" w:hAnsi="仿宋_GB2312" w:eastAsia="仿宋_GB2312" w:cs="仿宋_GB2312"/>
          <w:b/>
          <w:bCs/>
          <w:sz w:val="32"/>
          <w:szCs w:val="32"/>
          <w:lang w:val="en-US" w:eastAsia="zh-CN"/>
        </w:rPr>
      </w:pPr>
      <w:r>
        <w:drawing>
          <wp:inline distT="0" distB="0" distL="114300" distR="114300">
            <wp:extent cx="5271770" cy="2193290"/>
            <wp:effectExtent l="5080" t="4445" r="19050"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（图1：收支决算总计变动情况图）</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0" w:name="_Toc15396604"/>
      <w:bookmarkStart w:id="31" w:name="_Toc15377206"/>
      <w:r>
        <w:rPr>
          <w:rFonts w:hint="eastAsia" w:ascii="黑体" w:hAnsi="黑体" w:eastAsia="黑体" w:cs="黑体"/>
          <w:b/>
          <w:bCs/>
          <w:color w:val="000000"/>
          <w:kern w:val="2"/>
          <w:sz w:val="32"/>
          <w:szCs w:val="32"/>
          <w:lang w:val="en-US" w:eastAsia="zh-CN" w:bidi="ar-SA"/>
        </w:rPr>
        <w:t>二、收入决算情况说明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b/>
          <w:bCs/>
          <w:lang w:val="en-US" w:eastAsia="zh-CN"/>
        </w:rPr>
      </w:pPr>
      <w:r>
        <w:rPr>
          <w:rFonts w:hint="eastAsia" w:ascii="仿宋_GB2312" w:hAnsi="仿宋_GB2312" w:eastAsia="仿宋_GB2312" w:cs="仿宋_GB2312"/>
          <w:b/>
          <w:bCs/>
          <w:sz w:val="32"/>
          <w:szCs w:val="32"/>
          <w:lang w:val="en-US" w:eastAsia="zh-CN"/>
        </w:rPr>
        <w:t>2020年本年收入合计402.28万元，其中：一般公共预算财政拨款收入402.28万元，占100%。</w:t>
      </w:r>
    </w:p>
    <w:p>
      <w:pPr>
        <w:pStyle w:val="2"/>
        <w:jc w:val="center"/>
        <w:rPr>
          <w:rFonts w:hint="default"/>
          <w:b/>
          <w:bCs/>
          <w:lang w:val="en-US" w:eastAsia="zh-CN"/>
        </w:rPr>
      </w:pPr>
      <w:r>
        <w:drawing>
          <wp:inline distT="0" distB="0" distL="114300" distR="114300">
            <wp:extent cx="4582160" cy="2118360"/>
            <wp:effectExtent l="4445" t="4445" r="23495" b="10795"/>
            <wp:docPr id="1"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kinsoku/>
        <w:wordWrap/>
        <w:overflowPunct/>
        <w:topLinePunct w:val="0"/>
        <w:bidi w:val="0"/>
        <w:spacing w:line="240" w:lineRule="auto"/>
        <w:ind w:left="640" w:leftChars="305" w:firstLine="0" w:firstLineChars="0"/>
        <w:jc w:val="both"/>
        <w:outlineLvl w:val="1"/>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（图2：收入决算结构图）</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2" w:name="_Toc15377207"/>
      <w:bookmarkStart w:id="33" w:name="_Toc15396605"/>
      <w:r>
        <w:rPr>
          <w:rFonts w:hint="eastAsia" w:ascii="黑体" w:hAnsi="黑体" w:eastAsia="黑体" w:cs="黑体"/>
          <w:b/>
          <w:bCs/>
          <w:color w:val="000000"/>
          <w:kern w:val="2"/>
          <w:sz w:val="32"/>
          <w:szCs w:val="32"/>
          <w:lang w:val="en-US" w:eastAsia="zh-CN" w:bidi="ar-SA"/>
        </w:rPr>
        <w:t>三、支出决算情况说明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b/>
          <w:bCs/>
        </w:rPr>
      </w:pPr>
      <w:r>
        <w:rPr>
          <w:rFonts w:hint="eastAsia" w:ascii="仿宋_GB2312" w:hAnsi="仿宋_GB2312" w:eastAsia="仿宋_GB2312" w:cs="仿宋_GB2312"/>
          <w:b/>
          <w:bCs/>
          <w:sz w:val="32"/>
          <w:szCs w:val="32"/>
          <w:lang w:val="en-US" w:eastAsia="zh-CN"/>
        </w:rPr>
        <w:t>2020年本年支出合计520.68万元，其中：基本支出454.47万元，占87.28%；项目支出66.21万元，占12.72%；</w:t>
      </w:r>
    </w:p>
    <w:p>
      <w:pPr>
        <w:pStyle w:val="2"/>
        <w:pageBreakBefore w:val="0"/>
        <w:kinsoku/>
        <w:wordWrap/>
        <w:overflowPunct/>
        <w:topLinePunct w:val="0"/>
        <w:bidi w:val="0"/>
        <w:spacing w:line="240" w:lineRule="auto"/>
        <w:jc w:val="center"/>
        <w:rPr>
          <w:rFonts w:hint="eastAsia" w:eastAsia="仿宋_GB2312"/>
          <w:b/>
          <w:bCs/>
          <w:lang w:eastAsia="zh-CN"/>
        </w:rPr>
      </w:pPr>
      <w:r>
        <w:drawing>
          <wp:inline distT="0" distB="0" distL="114300" distR="114300">
            <wp:extent cx="4572000" cy="2743200"/>
            <wp:effectExtent l="4445" t="4445" r="14605" b="52705"/>
            <wp:docPr id="6" name="图表 5"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76" w:lineRule="exact"/>
        <w:ind w:firstLine="642" w:firstLineChars="200"/>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（图3：支出决算结构图）</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4" w:name="_Toc15396606"/>
      <w:bookmarkStart w:id="35" w:name="_Toc15377208"/>
      <w:r>
        <w:rPr>
          <w:rFonts w:hint="eastAsia" w:ascii="黑体" w:hAnsi="黑体" w:eastAsia="黑体" w:cs="黑体"/>
          <w:b/>
          <w:bCs/>
          <w:color w:val="000000"/>
          <w:kern w:val="2"/>
          <w:sz w:val="32"/>
          <w:szCs w:val="32"/>
          <w:lang w:val="en-US" w:eastAsia="zh-CN" w:bidi="ar-SA"/>
        </w:rPr>
        <w:t>四、财政拨款收入支出决算总体情况说明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2020年财政拨款收、支总计525.50万元。与2019年相比，财政拨款收、支总计各减少55.91万元，下降9.61%。主要变动原因是人员调出相关经费减少。</w:t>
      </w:r>
    </w:p>
    <w:p>
      <w:pPr>
        <w:pStyle w:val="2"/>
        <w:ind w:left="640" w:hanging="600" w:hangingChars="200"/>
        <w:jc w:val="center"/>
        <w:rPr>
          <w:rFonts w:hint="eastAsia" w:ascii="仿宋" w:hAnsi="仿宋" w:eastAsia="仿宋"/>
          <w:b/>
          <w:bCs/>
          <w:color w:val="000000"/>
          <w:sz w:val="32"/>
          <w:szCs w:val="32"/>
          <w:lang w:eastAsia="zh-CN"/>
        </w:rPr>
      </w:pPr>
      <w:r>
        <w:drawing>
          <wp:inline distT="0" distB="0" distL="114300" distR="114300">
            <wp:extent cx="5271770" cy="2193290"/>
            <wp:effectExtent l="5080" t="4445" r="19050" b="12065"/>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642" w:firstLineChars="200"/>
        <w:jc w:val="both"/>
        <w:rPr>
          <w:rFonts w:ascii="仿宋" w:hAnsi="仿宋" w:eastAsia="仿宋"/>
          <w:b/>
          <w:bCs/>
          <w:color w:val="00B05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（图4：财政拨款收、支决算总计变动情况）</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6" w:name="_Toc15377209"/>
      <w:bookmarkStart w:id="37" w:name="_Toc15396607"/>
      <w:r>
        <w:rPr>
          <w:rFonts w:hint="eastAsia" w:ascii="黑体" w:hAnsi="黑体" w:eastAsia="黑体" w:cs="黑体"/>
          <w:b/>
          <w:bCs/>
          <w:color w:val="000000"/>
          <w:kern w:val="2"/>
          <w:sz w:val="32"/>
          <w:szCs w:val="32"/>
          <w:lang w:val="en-US" w:eastAsia="zh-CN" w:bidi="ar-SA"/>
        </w:rPr>
        <w:t>五、一般公共预算财政拨款支出决算情况说明</w:t>
      </w:r>
      <w:bookmarkEnd w:id="36"/>
      <w:bookmarkEnd w:id="37"/>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38" w:name="_Toc15377210"/>
      <w:r>
        <w:rPr>
          <w:rFonts w:hint="eastAsia" w:ascii="楷体_GB2312" w:hAnsi="楷体_GB2312" w:eastAsia="楷体_GB2312" w:cs="楷体_GB2312"/>
          <w:b/>
          <w:bCs/>
          <w:kern w:val="2"/>
          <w:sz w:val="32"/>
          <w:szCs w:val="32"/>
          <w:lang w:val="en-US" w:eastAsia="zh-CN" w:bidi="ar-SA"/>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一般公共预算财政拨款支出520.68万元，占本年支出合计的99.08%。与2019年相比，一般公共预算财政拨款减少163.86万元，下降28.94%。主要变动原因：一是人员调出相关经费减少；二是市群众工作中心12345市长热线划出相关聘用人员项目经费减少；三落实厉行节约，压缩经费开支。</w:t>
      </w:r>
    </w:p>
    <w:p>
      <w:pPr>
        <w:pageBreakBefore w:val="0"/>
        <w:kinsoku/>
        <w:wordWrap/>
        <w:overflowPunct/>
        <w:topLinePunct w:val="0"/>
        <w:bidi w:val="0"/>
        <w:spacing w:line="240" w:lineRule="auto"/>
        <w:jc w:val="both"/>
        <w:rPr>
          <w:rFonts w:hint="eastAsia" w:ascii="仿宋" w:hAnsi="仿宋" w:eastAsia="仿宋"/>
          <w:b/>
          <w:bCs/>
          <w:color w:val="000000"/>
          <w:sz w:val="32"/>
          <w:szCs w:val="32"/>
          <w:lang w:eastAsia="zh-CN"/>
        </w:rPr>
      </w:pPr>
      <w:r>
        <w:drawing>
          <wp:inline distT="0" distB="0" distL="114300" distR="114300">
            <wp:extent cx="5271770" cy="2193290"/>
            <wp:effectExtent l="5080" t="4445" r="19050" b="12065"/>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（图5：一般公共预算财政拨款支出决算变动情况）</w:t>
      </w:r>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39" w:name="_Toc15377211"/>
      <w:r>
        <w:rPr>
          <w:rFonts w:hint="eastAsia" w:ascii="楷体_GB2312" w:hAnsi="楷体_GB2312" w:eastAsia="楷体_GB2312" w:cs="楷体_GB2312"/>
          <w:b/>
          <w:bCs/>
          <w:kern w:val="2"/>
          <w:sz w:val="32"/>
          <w:szCs w:val="32"/>
          <w:lang w:val="en-US" w:eastAsia="zh-CN" w:bidi="ar-SA"/>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2019年一般公共预算财政拨款支出520.68万元，主要用于以下方面</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一般公共服务（类）支出454.64万元，占87.31%；社会保障和就业（类）支出27.02万元，占5.19%；卫生健康支出11.43万元，占2.19%；住房保障</w:t>
      </w:r>
      <w:r>
        <w:rPr>
          <w:rFonts w:hint="eastAsia" w:ascii="仿宋_GB2312" w:hAnsi="仿宋_GB2312" w:eastAsia="仿宋_GB2312" w:cs="仿宋_GB2312"/>
          <w:b/>
          <w:bCs/>
          <w:color w:val="auto"/>
          <w:sz w:val="32"/>
          <w:szCs w:val="32"/>
          <w:lang w:val="en-US" w:eastAsia="zh-CN"/>
        </w:rPr>
        <w:t>支出27.60万元，占5.30%。</w:t>
      </w:r>
    </w:p>
    <w:p>
      <w:pPr>
        <w:pageBreakBefore w:val="0"/>
        <w:kinsoku/>
        <w:wordWrap/>
        <w:overflowPunct/>
        <w:topLinePunct w:val="0"/>
        <w:bidi w:val="0"/>
        <w:spacing w:line="240" w:lineRule="auto"/>
        <w:jc w:val="center"/>
        <w:rPr>
          <w:rFonts w:hint="eastAsia" w:ascii="仿宋" w:hAnsi="仿宋" w:eastAsia="仿宋"/>
          <w:b/>
          <w:bCs/>
          <w:color w:val="000000" w:themeColor="text1"/>
          <w:sz w:val="32"/>
          <w:szCs w:val="32"/>
          <w:lang w:eastAsia="zh-CN"/>
          <w14:textFill>
            <w14:solidFill>
              <w14:schemeClr w14:val="tx1"/>
            </w14:solidFill>
          </w14:textFill>
        </w:rPr>
      </w:pPr>
      <w:r>
        <w:drawing>
          <wp:inline distT="0" distB="0" distL="114300" distR="114300">
            <wp:extent cx="4572000" cy="2743200"/>
            <wp:effectExtent l="4445" t="4445" r="14605" b="52705"/>
            <wp:docPr id="8" name="图表 7"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576" w:lineRule="exact"/>
        <w:ind w:firstLine="642" w:firstLineChars="200"/>
        <w:rPr>
          <w:rFonts w:ascii="仿宋" w:hAnsi="仿宋" w:eastAsia="仿宋"/>
          <w:b/>
          <w:bCs/>
          <w:color w:val="00000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（图6：一般公共预算财政拨款支出决算结构）</w:t>
      </w:r>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40" w:name="_Toc15377212"/>
      <w:r>
        <w:rPr>
          <w:rFonts w:hint="eastAsia" w:ascii="楷体_GB2312" w:hAnsi="楷体_GB2312" w:eastAsia="楷体_GB2312" w:cs="楷体_GB2312"/>
          <w:b/>
          <w:bCs/>
          <w:kern w:val="2"/>
          <w:sz w:val="32"/>
          <w:szCs w:val="32"/>
          <w:lang w:val="en-US" w:eastAsia="zh-CN" w:bidi="ar-SA"/>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bookmarkStart w:id="41" w:name="_Toc15377444"/>
      <w:bookmarkStart w:id="42" w:name="_Toc15378460"/>
      <w:bookmarkStart w:id="43" w:name="_Toc15377213"/>
      <w:r>
        <w:rPr>
          <w:rFonts w:hint="eastAsia" w:ascii="仿宋_GB2312" w:hAnsi="仿宋_GB2312" w:eastAsia="仿宋_GB2312" w:cs="仿宋_GB2312"/>
          <w:b/>
          <w:bCs/>
          <w:sz w:val="32"/>
          <w:szCs w:val="32"/>
          <w:lang w:val="en-US" w:eastAsia="zh-CN"/>
        </w:rPr>
        <w:t>2020年一般公共预算支出决算数为520.68万元，完成预算99.08%。其中：</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1.一般公共服务（类）政府办公厅（室及相关机构事务）（款）*行政运行（项）: 支出决算为227.88万元，完成预算100%，决算数与预算数持平。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2.一般公共服务（类）政府办公厅（室及相关机构事务）（款）*一般行政管理事务（项）: 支出决算9.89万元，完成预算71.20%，决算数小于预算数的主要原因是2020年支出未完成，结转至2021年支付。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3.一般公共服务（类）政府办公厅（室及相关机构事务）（款）*机关服务（项）: 支出决算为10.49万元，完成预算99.90%，决算数与预算数持平。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4.一般公共服务（类）政府办公厅（室及相关机构事务）（款）*专项服务（项）: 支出决算为20.00万元，完成预算100%，决算数与预算数持平。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5.一般公共服务（类）政府办公厅（室及相关机构事务）（款）*信访事务（项）: 支出决算为68.30万元，完成预算99.60%，决算数与预算数持平。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6.公共服务（类）政府办公厅（室及相关机构事务）（款）*事业运行（项）: 支出决算为118.07万元，完成预算99.69%，决算数与预算数持平。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7、社会保障和就业（类）行政事业单位养老支出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Fonts w:hint="eastAsia" w:ascii="仿宋_GB2312" w:hAnsi="仿宋_GB2312" w:eastAsia="仿宋_GB2312" w:cs="仿宋_GB2312"/>
          <w:b/>
          <w:bCs/>
          <w:sz w:val="32"/>
          <w:szCs w:val="32"/>
          <w:lang w:val="en-US" w:eastAsia="zh-CN"/>
        </w:rPr>
        <w:t>: 支出决算为22.25万元，完成预算100%，决算数与预算数持平。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8、社会保障和就业（类）行政事业单位养老支出</w:t>
      </w:r>
      <w:r>
        <w:rPr>
          <w:rStyle w:val="15"/>
          <w:rFonts w:hint="eastAsia" w:ascii="仿宋" w:hAnsi="仿宋" w:eastAsia="仿宋"/>
          <w:bCs/>
          <w:color w:val="000000"/>
          <w:sz w:val="32"/>
          <w:szCs w:val="32"/>
        </w:rPr>
        <w:t>（款）</w:t>
      </w:r>
      <w:r>
        <w:rPr>
          <w:rFonts w:hint="eastAsia" w:ascii="仿宋_GB2312" w:hAnsi="仿宋_GB2312" w:eastAsia="仿宋_GB2312" w:cs="仿宋_GB2312"/>
          <w:b/>
          <w:bCs/>
          <w:sz w:val="32"/>
          <w:szCs w:val="32"/>
          <w:lang w:val="en-US" w:eastAsia="zh-CN"/>
        </w:rPr>
        <w:t>机关事业单位职业年金缴费支出（项）: 支出决算为4.77万元，完成预算100%，决算数与预算数持平。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9、卫生健康（类）行政事业单位医疗（款）行政单位医疗（项）</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支出决算为8.30万元，完成预算100%，决算数与预算数持平。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10、卫生健康（类）行政事业单位医疗（款）事业单位医疗（项）</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支出决算为3.13万元，完成预算100%，决算数与预算数持平。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住房保障支出（类）住房改革支出（款）住房公积金（项）决算数为23.60万元，完成预算100%，决算数与预算数持平。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ascii="仿宋" w:hAnsi="仿宋" w:eastAsia="仿宋"/>
          <w:b/>
          <w:bCs/>
          <w:color w:val="000000"/>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住房保障支出（类）住房改革支出（款）购房补贴（项）决算数为4.00万元，完成预算100%，决算数与预算数持平。</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auto"/>
          <w:kern w:val="2"/>
          <w:sz w:val="32"/>
          <w:szCs w:val="32"/>
          <w:lang w:val="en-US" w:eastAsia="zh-CN" w:bidi="ar-SA"/>
        </w:rPr>
      </w:pPr>
      <w:bookmarkStart w:id="44" w:name="_Toc15396608"/>
      <w:bookmarkStart w:id="45" w:name="_Toc15377214"/>
      <w:r>
        <w:rPr>
          <w:rFonts w:hint="eastAsia" w:ascii="黑体" w:hAnsi="黑体" w:eastAsia="黑体" w:cs="黑体"/>
          <w:b/>
          <w:bCs/>
          <w:color w:val="auto"/>
          <w:kern w:val="2"/>
          <w:sz w:val="32"/>
          <w:szCs w:val="32"/>
          <w:lang w:val="en-US" w:eastAsia="zh-CN" w:bidi="ar-SA"/>
        </w:rPr>
        <w:t>六、一般公共预算财政拨款基本支出决算情况说明</w:t>
      </w:r>
      <w:bookmarkEnd w:id="44"/>
      <w:bookmarkEnd w:id="45"/>
      <w:r>
        <w:rPr>
          <w:rFonts w:hint="eastAsia" w:ascii="黑体" w:hAnsi="黑体" w:eastAsia="黑体" w:cs="黑体"/>
          <w:b/>
          <w:bCs/>
          <w:color w:val="auto"/>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2020年一般公共预算财政拨款基本支出454.47万元，其中：</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w:t>
      </w:r>
      <w:r>
        <w:rPr>
          <w:rFonts w:hint="eastAsia" w:ascii="仿宋_GB2312" w:hAnsi="仿宋_GB2312" w:eastAsia="仿宋_GB2312" w:cs="仿宋_GB2312"/>
          <w:b/>
          <w:bCs/>
          <w:color w:val="auto"/>
          <w:sz w:val="32"/>
          <w:szCs w:val="32"/>
          <w:lang w:val="en-US" w:eastAsia="zh-CN"/>
        </w:rPr>
        <w:t>员经费390.62</w:t>
      </w:r>
      <w:r>
        <w:rPr>
          <w:rFonts w:hint="eastAsia" w:ascii="仿宋_GB2312" w:hAnsi="仿宋_GB2312" w:eastAsia="仿宋_GB2312" w:cs="仿宋_GB2312"/>
          <w:b/>
          <w:bCs/>
          <w:sz w:val="32"/>
          <w:szCs w:val="32"/>
          <w:lang w:val="en-US" w:eastAsia="zh-CN"/>
        </w:rPr>
        <w:t>万元，主要包括：基本工资、津贴补贴、奖金、绩效工资、机关事业单位基本养老保险缴费、职业年金缴费、其他社会保障缴费、其他工资福利支出、生活补助、医疗费补助、奖励金、住房公积金、其他对个人和家庭的补助支出等。</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b/>
          <w:bCs/>
          <w:sz w:val="32"/>
          <w:szCs w:val="32"/>
          <w:lang w:val="en-US" w:eastAsia="zh-CN"/>
        </w:rPr>
        <w:t>　　日常公</w:t>
      </w:r>
      <w:r>
        <w:rPr>
          <w:rFonts w:hint="eastAsia" w:ascii="仿宋_GB2312" w:hAnsi="仿宋_GB2312" w:eastAsia="仿宋_GB2312" w:cs="仿宋_GB2312"/>
          <w:b/>
          <w:bCs/>
          <w:color w:val="auto"/>
          <w:sz w:val="32"/>
          <w:szCs w:val="32"/>
          <w:lang w:val="en-US" w:eastAsia="zh-CN"/>
        </w:rPr>
        <w:t>用经费63.85万元，主要包括：办公费、印刷费、水费、电费</w:t>
      </w:r>
      <w:r>
        <w:rPr>
          <w:rFonts w:hint="eastAsia" w:ascii="仿宋_GB2312" w:hAnsi="仿宋_GB2312" w:eastAsia="仿宋_GB2312" w:cs="仿宋_GB2312"/>
          <w:b/>
          <w:bCs/>
          <w:sz w:val="32"/>
          <w:szCs w:val="32"/>
          <w:lang w:val="en-US" w:eastAsia="zh-CN"/>
        </w:rPr>
        <w:t>、邮电费、物业管理费、差旅费、维修（护）费、租赁费、会议费、培训费、公务接待费、工会经费、福利费、公务用车运行维护费、其他商品和服务支出等。</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46" w:name="_Toc15377215"/>
      <w:bookmarkStart w:id="47" w:name="_Toc15396609"/>
      <w:r>
        <w:rPr>
          <w:rFonts w:hint="eastAsia" w:ascii="黑体" w:hAnsi="黑体" w:eastAsia="黑体" w:cs="黑体"/>
          <w:b/>
          <w:bCs/>
          <w:color w:val="000000"/>
          <w:kern w:val="2"/>
          <w:sz w:val="32"/>
          <w:szCs w:val="32"/>
          <w:lang w:val="en-US" w:eastAsia="zh-CN" w:bidi="ar-SA"/>
        </w:rPr>
        <w:t>七、“三公”经费财政拨款支出决算情况说明</w:t>
      </w:r>
      <w:bookmarkEnd w:id="46"/>
      <w:bookmarkEnd w:id="47"/>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48" w:name="_Toc15377216"/>
      <w:r>
        <w:rPr>
          <w:rFonts w:hint="eastAsia" w:ascii="楷体_GB2312" w:hAnsi="楷体_GB2312" w:eastAsia="楷体_GB2312" w:cs="楷体_GB2312"/>
          <w:b/>
          <w:bCs/>
          <w:kern w:val="2"/>
          <w:sz w:val="32"/>
          <w:szCs w:val="32"/>
          <w:lang w:val="en-US" w:eastAsia="zh-CN" w:bidi="ar-SA"/>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2020年“三公”经费预算2.88万元，财政拨款支出决算为0.91万元，完成预算31.60%，决算数小于预算数的主要原因是按照厉行节约、控制标准、限制陪同人数、压缩接待费支出。</w:t>
      </w:r>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49" w:name="_Toc15377217"/>
      <w:r>
        <w:rPr>
          <w:rFonts w:hint="eastAsia" w:ascii="楷体_GB2312" w:hAnsi="楷体_GB2312" w:eastAsia="楷体_GB2312" w:cs="楷体_GB2312"/>
          <w:b/>
          <w:bCs/>
          <w:kern w:val="2"/>
          <w:sz w:val="32"/>
          <w:szCs w:val="32"/>
          <w:lang w:val="en-US" w:eastAsia="zh-CN" w:bidi="ar-SA"/>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2020年“三公”经费财政拨款支出决算中，因公出国（境）费支出决算0万元；公务用车购置及运行维护费支出决算0万元；公务接待费支出决算0.91万元，占31.60%。具体情况如下：</w:t>
      </w:r>
    </w:p>
    <w:p>
      <w:pPr>
        <w:pStyle w:val="2"/>
        <w:jc w:val="center"/>
        <w:rPr>
          <w:rFonts w:hint="eastAsia"/>
          <w:lang w:val="en-US" w:eastAsia="zh-CN"/>
        </w:rPr>
      </w:pPr>
      <w:r>
        <w:rPr>
          <w:rFonts w:hint="eastAsia"/>
          <w:lang w:val="en-US" w:eastAsia="zh-CN"/>
        </w:rPr>
        <w:drawing>
          <wp:inline distT="0" distB="0" distL="114300" distR="114300">
            <wp:extent cx="3900805" cy="2412365"/>
            <wp:effectExtent l="0" t="0" r="4445" b="0"/>
            <wp:docPr id="2" name="图片 2"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true"/>
                    </pic:cNvPicPr>
                  </pic:nvPicPr>
                  <pic:blipFill>
                    <a:blip r:embed="rId12"/>
                    <a:stretch>
                      <a:fillRect/>
                    </a:stretch>
                  </pic:blipFill>
                  <pic:spPr>
                    <a:xfrm>
                      <a:off x="0" y="0"/>
                      <a:ext cx="3900805" cy="2412365"/>
                    </a:xfrm>
                    <a:prstGeom prst="rect">
                      <a:avLst/>
                    </a:prstGeom>
                  </pic:spPr>
                </pic:pic>
              </a:graphicData>
            </a:graphic>
          </wp:inline>
        </w:drawing>
      </w:r>
    </w:p>
    <w:p>
      <w:pPr>
        <w:pageBreakBefore w:val="0"/>
        <w:kinsoku/>
        <w:wordWrap/>
        <w:overflowPunct/>
        <w:topLinePunct w:val="0"/>
        <w:bidi w:val="0"/>
        <w:spacing w:line="576" w:lineRule="exact"/>
        <w:ind w:firstLine="642" w:firstLineChars="200"/>
        <w:rPr>
          <w:rFonts w:hint="eastAsia"/>
          <w:lang w:val="en-US"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（图7：</w:t>
      </w:r>
      <w:r>
        <w:rPr>
          <w:rFonts w:hint="eastAsia" w:ascii="楷体_GB2312" w:hAnsi="楷体_GB2312" w:eastAsia="楷体_GB2312" w:cs="楷体_GB2312"/>
          <w:b/>
          <w:bCs/>
          <w:kern w:val="2"/>
          <w:sz w:val="32"/>
          <w:szCs w:val="32"/>
          <w:lang w:val="en-US" w:eastAsia="zh-CN" w:bidi="ar-SA"/>
        </w:rPr>
        <w:t>“三公”经费财政拨款支出</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结构）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1.因公出国（境）经费支出0万元，年初未安排预算，与上年持平。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2.公务用车购置及运行维护费支出0万元。其中：公务用车购置支出0万元。截至2020年12月底，单位共有公务用车0辆。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bookmarkStart w:id="77" w:name="_GoBack"/>
      <w:bookmarkEnd w:id="77"/>
      <w:r>
        <w:rPr>
          <w:rFonts w:hint="eastAsia" w:ascii="仿宋_GB2312" w:hAnsi="仿宋_GB2312" w:eastAsia="仿宋_GB2312" w:cs="仿宋_GB2312"/>
          <w:b/>
          <w:bCs/>
          <w:sz w:val="32"/>
          <w:szCs w:val="32"/>
          <w:lang w:val="en-US" w:eastAsia="zh-CN"/>
        </w:rPr>
        <w:t>公务用车运行维护费支出0万元。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3.公务接待费支出0.91万元，完成预算31.60%。公务接待费支出决算比2019年减少3.42万元，下降78.98%。主要原因是：因疫情原因上级来广公务活动减少，按照厉行节约和过紧日子要求，压减计费和陪同人员。</w:t>
      </w:r>
    </w:p>
    <w:p>
      <w:pPr>
        <w:spacing w:line="600" w:lineRule="exact"/>
        <w:ind w:firstLine="640"/>
        <w:rPr>
          <w:rFonts w:hint="default"/>
          <w:lang w:val="en-US" w:eastAsia="zh-CN"/>
        </w:rPr>
      </w:pPr>
      <w:r>
        <w:rPr>
          <w:rFonts w:hint="eastAsia" w:ascii="仿宋_GB2312" w:hAnsi="仿宋_GB2312" w:eastAsia="仿宋_GB2312" w:cs="仿宋_GB2312"/>
          <w:b/>
          <w:bCs/>
          <w:sz w:val="32"/>
          <w:szCs w:val="32"/>
          <w:lang w:val="en-US" w:eastAsia="zh-CN"/>
        </w:rPr>
        <w:t>开支内容包括：主要用于执行公务、开展业务活动开支的交通费、住宿费、用餐费等。国内公务接待5批18人次（不包括陪同人员），共计支出0.91万元，具体内容包括：巴中、遂宁等市来广协调非法集资信访事项，省信访局来广检查信访制度拖进、督查我市群众向省委书记投诉信访事项办理，全国两会期间绵阳市驻广维稳等。</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50" w:name="_Toc15377218"/>
      <w:bookmarkStart w:id="51" w:name="_Toc15396610"/>
      <w:r>
        <w:rPr>
          <w:rFonts w:hint="eastAsia" w:ascii="黑体" w:hAnsi="黑体" w:eastAsia="黑体" w:cs="黑体"/>
          <w:b/>
          <w:bCs/>
          <w:color w:val="000000"/>
          <w:kern w:val="2"/>
          <w:sz w:val="32"/>
          <w:szCs w:val="32"/>
          <w:lang w:val="en-US" w:eastAsia="zh-CN" w:bidi="ar-SA"/>
        </w:rPr>
        <w:t>八、政府性基金预算支出决算情况说明</w:t>
      </w:r>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Times New Roman" w:eastAsia="仿宋_GB2312" w:cs="Times New Roman"/>
          <w:b/>
          <w:bCs/>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20</w:t>
      </w:r>
      <w:r>
        <w:rPr>
          <w:rFonts w:hint="eastAsia" w:ascii="仿宋_GB2312" w:eastAsia="仿宋_GB2312" w:cs="Times New Roman"/>
          <w:b/>
          <w:bCs/>
          <w:color w:val="000000"/>
          <w:sz w:val="32"/>
          <w:szCs w:val="32"/>
          <w:lang w:val="en-US" w:eastAsia="zh-CN"/>
        </w:rPr>
        <w:t>20</w:t>
      </w:r>
      <w:r>
        <w:rPr>
          <w:rFonts w:hint="eastAsia" w:ascii="仿宋_GB2312" w:hAnsi="Times New Roman" w:eastAsia="仿宋_GB2312" w:cs="Times New Roman"/>
          <w:b/>
          <w:bCs/>
          <w:color w:val="000000"/>
          <w:sz w:val="32"/>
          <w:szCs w:val="32"/>
          <w:lang w:val="en-US" w:eastAsia="zh-CN"/>
        </w:rPr>
        <w:t>年政府性基金预算拨款支出0万元。2020年本单位未在政府性基金预算拨款安排“三公经费”支出。</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52" w:name="_Toc15377219"/>
      <w:bookmarkStart w:id="53" w:name="_Toc15396611"/>
      <w:r>
        <w:rPr>
          <w:rFonts w:hint="eastAsia" w:ascii="黑体" w:hAnsi="黑体" w:eastAsia="黑体" w:cs="黑体"/>
          <w:b/>
          <w:bCs/>
          <w:color w:val="000000"/>
          <w:kern w:val="2"/>
          <w:sz w:val="32"/>
          <w:szCs w:val="32"/>
          <w:lang w:val="en-US" w:eastAsia="zh-CN" w:bidi="ar-SA"/>
        </w:rPr>
        <w:t>九、国有资本经营预算支出决算情况说明</w:t>
      </w:r>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lang w:val="en-US" w:eastAsia="zh-CN"/>
        </w:rPr>
        <w:t>20</w:t>
      </w:r>
      <w:r>
        <w:rPr>
          <w:rFonts w:hint="eastAsia" w:ascii="仿宋_GB2312" w:eastAsia="仿宋_GB2312" w:cs="Times New Roman"/>
          <w:b/>
          <w:bCs/>
          <w:color w:val="000000"/>
          <w:sz w:val="32"/>
          <w:szCs w:val="32"/>
          <w:lang w:val="en-US" w:eastAsia="zh-CN"/>
        </w:rPr>
        <w:t>20</w:t>
      </w:r>
      <w:r>
        <w:rPr>
          <w:rFonts w:hint="eastAsia" w:ascii="仿宋_GB2312" w:hAnsi="Times New Roman" w:eastAsia="仿宋_GB2312" w:cs="Times New Roman"/>
          <w:b/>
          <w:bCs/>
          <w:color w:val="000000"/>
          <w:sz w:val="32"/>
          <w:szCs w:val="32"/>
          <w:lang w:val="en-US" w:eastAsia="zh-CN"/>
        </w:rPr>
        <w:t>年国有资本经营预算拨款支出0万元。</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54" w:name="_Toc15396612"/>
      <w:bookmarkStart w:id="55" w:name="_Toc15377221"/>
      <w:r>
        <w:rPr>
          <w:rFonts w:hint="eastAsia" w:ascii="黑体" w:hAnsi="黑体" w:eastAsia="黑体" w:cs="黑体"/>
          <w:b/>
          <w:bCs/>
          <w:color w:val="000000"/>
          <w:kern w:val="2"/>
          <w:sz w:val="32"/>
          <w:szCs w:val="32"/>
          <w:lang w:val="en-US" w:eastAsia="zh-CN" w:bidi="ar-SA"/>
        </w:rPr>
        <w:t>十、其他重要事项的情况说明</w:t>
      </w:r>
      <w:bookmarkEnd w:id="54"/>
      <w:bookmarkEnd w:id="55"/>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bookmarkStart w:id="56" w:name="_Toc15377222"/>
      <w:r>
        <w:rPr>
          <w:rFonts w:hint="eastAsia" w:ascii="楷体_GB2312" w:hAnsi="楷体_GB2312" w:eastAsia="楷体_GB2312" w:cs="楷体_GB2312"/>
          <w:b/>
          <w:bCs/>
          <w:color w:val="000000"/>
          <w:sz w:val="32"/>
          <w:szCs w:val="32"/>
        </w:rPr>
        <w:t>（一）机关运行经费支出情况</w:t>
      </w:r>
      <w:bookmarkEnd w:id="56"/>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_GB2312"/>
          <w:b/>
          <w:bCs/>
          <w:color w:val="FF0000"/>
          <w:sz w:val="32"/>
          <w:szCs w:val="32"/>
          <w:lang w:eastAsia="zh-CN"/>
        </w:rPr>
      </w:pPr>
      <w:r>
        <w:rPr>
          <w:rFonts w:ascii="仿宋_GB2312" w:eastAsia="仿宋_GB2312"/>
          <w:b/>
          <w:bCs/>
          <w:color w:val="000000"/>
          <w:sz w:val="32"/>
          <w:szCs w:val="32"/>
        </w:rPr>
        <w:t>20</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rPr>
        <w:t>年，</w:t>
      </w:r>
      <w:r>
        <w:rPr>
          <w:rFonts w:hint="eastAsia" w:ascii="仿宋_GB2312" w:eastAsia="仿宋_GB2312"/>
          <w:b/>
          <w:bCs/>
          <w:color w:val="000000"/>
          <w:sz w:val="32"/>
          <w:szCs w:val="32"/>
          <w:lang w:eastAsia="zh-CN"/>
        </w:rPr>
        <w:t>市委群工局</w:t>
      </w:r>
      <w:r>
        <w:rPr>
          <w:rFonts w:hint="eastAsia" w:ascii="仿宋_GB2312" w:eastAsia="仿宋_GB2312"/>
          <w:b/>
          <w:bCs/>
          <w:color w:val="000000"/>
          <w:sz w:val="32"/>
          <w:szCs w:val="32"/>
        </w:rPr>
        <w:t>机关运行经费支</w:t>
      </w:r>
      <w:r>
        <w:rPr>
          <w:rFonts w:hint="eastAsia" w:ascii="仿宋_GB2312" w:eastAsia="仿宋_GB2312"/>
          <w:b/>
          <w:bCs/>
          <w:color w:val="auto"/>
          <w:sz w:val="32"/>
          <w:szCs w:val="32"/>
        </w:rPr>
        <w:t>出</w:t>
      </w:r>
      <w:r>
        <w:rPr>
          <w:rFonts w:hint="eastAsia" w:ascii="仿宋_GB2312" w:eastAsia="仿宋_GB2312"/>
          <w:b/>
          <w:bCs/>
          <w:color w:val="auto"/>
          <w:sz w:val="32"/>
          <w:szCs w:val="32"/>
          <w:lang w:val="en-US" w:eastAsia="zh-CN"/>
        </w:rPr>
        <w:t>63.85</w:t>
      </w:r>
      <w:r>
        <w:rPr>
          <w:rFonts w:hint="eastAsia" w:ascii="仿宋_GB2312" w:eastAsia="仿宋_GB2312"/>
          <w:b/>
          <w:bCs/>
          <w:color w:val="auto"/>
          <w:sz w:val="32"/>
          <w:szCs w:val="32"/>
        </w:rPr>
        <w:t>万元</w:t>
      </w:r>
      <w:r>
        <w:rPr>
          <w:rFonts w:hint="eastAsia" w:ascii="仿宋_GB2312" w:eastAsia="仿宋_GB2312"/>
          <w:b/>
          <w:bCs/>
          <w:color w:val="000000"/>
          <w:sz w:val="32"/>
          <w:szCs w:val="32"/>
        </w:rPr>
        <w:t>，比</w:t>
      </w:r>
      <w:r>
        <w:rPr>
          <w:rFonts w:ascii="仿宋_GB2312" w:eastAsia="仿宋_GB2312"/>
          <w:b/>
          <w:bCs/>
          <w:color w:val="000000"/>
          <w:sz w:val="32"/>
          <w:szCs w:val="32"/>
        </w:rPr>
        <w:t>201</w:t>
      </w:r>
      <w:r>
        <w:rPr>
          <w:rFonts w:hint="eastAsia" w:ascii="仿宋_GB2312" w:eastAsia="仿宋_GB2312"/>
          <w:b/>
          <w:bCs/>
          <w:color w:val="000000"/>
          <w:sz w:val="32"/>
          <w:szCs w:val="32"/>
          <w:lang w:val="en-US" w:eastAsia="zh-CN"/>
        </w:rPr>
        <w:t>9</w:t>
      </w:r>
      <w:r>
        <w:rPr>
          <w:rFonts w:hint="eastAsia" w:ascii="仿宋_GB2312" w:eastAsia="仿宋_GB2312"/>
          <w:b/>
          <w:bCs/>
          <w:color w:val="000000"/>
          <w:sz w:val="32"/>
          <w:szCs w:val="32"/>
        </w:rPr>
        <w:t>年减少</w:t>
      </w:r>
      <w:r>
        <w:rPr>
          <w:rFonts w:hint="eastAsia" w:ascii="仿宋_GB2312" w:eastAsia="仿宋_GB2312"/>
          <w:b/>
          <w:bCs/>
          <w:color w:val="000000"/>
          <w:sz w:val="32"/>
          <w:szCs w:val="32"/>
          <w:lang w:val="en-US" w:eastAsia="zh-CN"/>
        </w:rPr>
        <w:t>47.19</w:t>
      </w:r>
      <w:r>
        <w:rPr>
          <w:rFonts w:hint="eastAsia" w:ascii="仿宋_GB2312" w:eastAsia="仿宋_GB2312"/>
          <w:b/>
          <w:bCs/>
          <w:color w:val="000000"/>
          <w:sz w:val="32"/>
          <w:szCs w:val="32"/>
        </w:rPr>
        <w:t>万元，下降</w:t>
      </w:r>
      <w:r>
        <w:rPr>
          <w:rFonts w:hint="eastAsia" w:ascii="仿宋_GB2312" w:eastAsia="仿宋_GB2312"/>
          <w:b/>
          <w:bCs/>
          <w:color w:val="000000"/>
          <w:sz w:val="32"/>
          <w:szCs w:val="32"/>
          <w:lang w:val="en-US" w:eastAsia="zh-CN"/>
        </w:rPr>
        <w:t>10.12</w:t>
      </w:r>
      <w:r>
        <w:rPr>
          <w:rFonts w:ascii="仿宋_GB2312" w:eastAsia="仿宋_GB2312"/>
          <w:b/>
          <w:bCs/>
          <w:color w:val="000000"/>
          <w:sz w:val="32"/>
          <w:szCs w:val="32"/>
        </w:rPr>
        <w:t>%</w:t>
      </w:r>
      <w:r>
        <w:rPr>
          <w:rFonts w:hint="eastAsia" w:ascii="仿宋_GB2312" w:eastAsia="仿宋_GB2312"/>
          <w:b/>
          <w:bCs/>
          <w:color w:val="000000"/>
          <w:sz w:val="32"/>
          <w:szCs w:val="32"/>
        </w:rPr>
        <w:t>。</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bookmarkStart w:id="57" w:name="_Toc15377223"/>
      <w:r>
        <w:rPr>
          <w:rFonts w:hint="eastAsia" w:ascii="楷体_GB2312" w:hAnsi="楷体_GB2312" w:eastAsia="楷体_GB2312" w:cs="楷体_GB2312"/>
          <w:b/>
          <w:bCs/>
          <w:color w:val="000000"/>
          <w:sz w:val="32"/>
          <w:szCs w:val="32"/>
        </w:rPr>
        <w:t>（二）政府采购支出情况</w:t>
      </w:r>
      <w:bookmarkEnd w:id="57"/>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bCs/>
          <w:color w:val="000000"/>
          <w:sz w:val="32"/>
          <w:szCs w:val="32"/>
          <w:lang w:eastAsia="zh-CN"/>
        </w:rPr>
      </w:pPr>
      <w:bookmarkStart w:id="58" w:name="_Toc15377224"/>
      <w:r>
        <w:rPr>
          <w:rFonts w:hint="eastAsia" w:ascii="仿宋_GB2312" w:eastAsia="仿宋_GB2312"/>
          <w:b/>
          <w:bCs/>
          <w:color w:val="000000"/>
          <w:sz w:val="32"/>
          <w:szCs w:val="32"/>
          <w:lang w:eastAsia="zh-CN"/>
        </w:rPr>
        <w:t>20</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lang w:eastAsia="zh-CN"/>
        </w:rPr>
        <w:t>年，市委群工局采购支出总额</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万元，其中：政府采购货物支出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万元、政府采购工程支出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万元、政府采购服务支出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（三）国有资产占有使用情况</w:t>
      </w:r>
      <w:bookmarkEnd w:id="5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截至2020年12月31日，市委群工局共有车辆0辆，其中：主要领导干部用车0辆、机要通信用车0辆、应急保障用车0辆、其他用车0辆，单价100万元以上专用设备0台（套）。</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（四）预算绩效管理情况</w:t>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根据预算绩效管理要求，本部门（单位）在年初预算编制阶段，组织对</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个项目编制了绩效目标，预算执行过程中，选取</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个项目开展绩效监控，年终执行完毕后，对</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个项目开展了绩效目标完成情况自评。</w:t>
      </w:r>
    </w:p>
    <w:p>
      <w:pPr>
        <w:pageBreakBefore w:val="0"/>
        <w:numPr>
          <w:ilvl w:val="0"/>
          <w:numId w:val="1"/>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b/>
          <w:bCs/>
          <w:sz w:val="32"/>
          <w:szCs w:val="32"/>
        </w:rPr>
        <w:t xml:space="preserve">    本部门在20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年度部门决算中反映“</w:t>
      </w:r>
      <w:r>
        <w:rPr>
          <w:rFonts w:hint="eastAsia" w:ascii="仿宋_GB2312" w:hAnsi="仿宋_GB2312" w:eastAsia="仿宋_GB2312" w:cs="仿宋_GB2312"/>
          <w:b/>
          <w:bCs/>
          <w:sz w:val="32"/>
          <w:szCs w:val="32"/>
          <w:lang w:eastAsia="zh-CN"/>
        </w:rPr>
        <w:t>资助救助资金</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、“远程视频服务”、“信访维稳信息费”、“法律顾问”、“特殊疑难信访资金”</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个项目绩效目标实际完成情况。</w:t>
      </w:r>
    </w:p>
    <w:p>
      <w:pPr>
        <w:pageBreakBefore w:val="0"/>
        <w:numPr>
          <w:ilvl w:val="0"/>
          <w:numId w:val="2"/>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资助救助资金</w:t>
      </w:r>
      <w:r>
        <w:rPr>
          <w:rFonts w:hint="eastAsia" w:ascii="仿宋_GB2312" w:hAnsi="仿宋_GB2312" w:eastAsia="仿宋_GB2312" w:cs="仿宋_GB2312"/>
          <w:b/>
          <w:bCs/>
          <w:sz w:val="32"/>
          <w:szCs w:val="32"/>
        </w:rPr>
        <w:t>项目绩效目标完成情况综述。项目全年预算数</w:t>
      </w:r>
      <w:r>
        <w:rPr>
          <w:rFonts w:hint="eastAsia" w:ascii="仿宋_GB2312" w:hAnsi="仿宋_GB2312" w:eastAsia="仿宋_GB2312" w:cs="仿宋_GB2312"/>
          <w:b/>
          <w:bCs/>
          <w:sz w:val="32"/>
          <w:szCs w:val="32"/>
          <w:lang w:val="en-US" w:eastAsia="zh-CN"/>
        </w:rPr>
        <w:t>20.00</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20.00</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通过项目实施，市级部门和八个县区对全市困难信访群众进行生产和生活的帮助救助，使被资助救助对象暂缓度过困难期，提升对党委政府的认同，提高对生活的信心，减少社会矛盾发生，杜绝违法行为发生，危害社会公共安全。发现主要问题：帮扶缺乏长期的关注和引导。下一步改进措施：对实施帮扶救助的信访群众做好回头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10159" w:type="dxa"/>
        <w:jc w:val="center"/>
        <w:tblLayout w:type="fixed"/>
        <w:tblCellMar>
          <w:top w:w="0" w:type="dxa"/>
          <w:left w:w="0" w:type="dxa"/>
          <w:bottom w:w="0" w:type="dxa"/>
          <w:right w:w="0" w:type="dxa"/>
        </w:tblCellMar>
      </w:tblPr>
      <w:tblGrid>
        <w:gridCol w:w="1314"/>
        <w:gridCol w:w="945"/>
        <w:gridCol w:w="1370"/>
        <w:gridCol w:w="2124"/>
        <w:gridCol w:w="2274"/>
        <w:gridCol w:w="2132"/>
      </w:tblGrid>
      <w:tr>
        <w:tblPrEx>
          <w:tblCellMar>
            <w:top w:w="0" w:type="dxa"/>
            <w:left w:w="0" w:type="dxa"/>
            <w:bottom w:w="0" w:type="dxa"/>
            <w:right w:w="0" w:type="dxa"/>
          </w:tblCellMar>
        </w:tblPrEx>
        <w:trPr>
          <w:trHeight w:val="549" w:hRule="atLeast"/>
          <w:jc w:val="center"/>
        </w:trPr>
        <w:tc>
          <w:tcPr>
            <w:tcW w:w="362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53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信访资助救助资金</w:t>
            </w:r>
          </w:p>
        </w:tc>
      </w:tr>
      <w:tr>
        <w:tblPrEx>
          <w:tblCellMar>
            <w:top w:w="0" w:type="dxa"/>
            <w:left w:w="0" w:type="dxa"/>
            <w:bottom w:w="0" w:type="dxa"/>
            <w:right w:w="0" w:type="dxa"/>
          </w:tblCellMar>
        </w:tblPrEx>
        <w:trPr>
          <w:trHeight w:val="549" w:hRule="atLeast"/>
          <w:jc w:val="center"/>
        </w:trPr>
        <w:tc>
          <w:tcPr>
            <w:tcW w:w="362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53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549" w:hRule="atLeast"/>
          <w:jc w:val="center"/>
        </w:trPr>
        <w:tc>
          <w:tcPr>
            <w:tcW w:w="13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31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r>
      <w:tr>
        <w:tblPrEx>
          <w:tblCellMar>
            <w:top w:w="0" w:type="dxa"/>
            <w:left w:w="0" w:type="dxa"/>
            <w:bottom w:w="0" w:type="dxa"/>
            <w:right w:w="0" w:type="dxa"/>
          </w:tblCellMar>
        </w:tblPrEx>
        <w:trPr>
          <w:trHeight w:val="549"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31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r>
      <w:tr>
        <w:tblPrEx>
          <w:tblCellMar>
            <w:top w:w="0" w:type="dxa"/>
            <w:left w:w="0" w:type="dxa"/>
            <w:bottom w:w="0" w:type="dxa"/>
            <w:right w:w="0" w:type="dxa"/>
          </w:tblCellMar>
        </w:tblPrEx>
        <w:trPr>
          <w:trHeight w:val="549"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31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549" w:hRule="atLeast"/>
          <w:jc w:val="center"/>
        </w:trPr>
        <w:tc>
          <w:tcPr>
            <w:tcW w:w="13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43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4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646"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43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开展对特殊困难群众进行资助救助。     </w:t>
            </w:r>
          </w:p>
        </w:tc>
        <w:tc>
          <w:tcPr>
            <w:tcW w:w="44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市本级及8个县区</w:t>
            </w:r>
            <w:r>
              <w:rPr>
                <w:rFonts w:hint="eastAsia" w:ascii="宋体" w:hAnsi="宋体" w:cs="宋体"/>
                <w:b/>
                <w:bCs/>
                <w:lang w:eastAsia="zh-CN"/>
              </w:rPr>
              <w:t>的</w:t>
            </w:r>
            <w:r>
              <w:rPr>
                <w:rFonts w:hint="eastAsia" w:ascii="宋体" w:hAnsi="宋体" w:eastAsia="宋体" w:cs="宋体"/>
                <w:b/>
                <w:bCs/>
                <w:lang w:eastAsia="zh-CN"/>
              </w:rPr>
              <w:t>困难群众实施帮扶救助</w:t>
            </w:r>
          </w:p>
        </w:tc>
      </w:tr>
      <w:tr>
        <w:tblPrEx>
          <w:tblCellMar>
            <w:top w:w="0" w:type="dxa"/>
            <w:left w:w="0" w:type="dxa"/>
            <w:bottom w:w="0" w:type="dxa"/>
            <w:right w:w="0" w:type="dxa"/>
          </w:tblCellMar>
        </w:tblPrEx>
        <w:trPr>
          <w:trHeight w:val="1005" w:hRule="atLeast"/>
          <w:jc w:val="center"/>
        </w:trPr>
        <w:tc>
          <w:tcPr>
            <w:tcW w:w="13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1005"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市本级及8个县区</w:t>
            </w:r>
            <w:r>
              <w:rPr>
                <w:rFonts w:hint="eastAsia" w:ascii="宋体" w:hAnsi="宋体" w:eastAsia="宋体" w:cs="宋体"/>
                <w:b/>
                <w:bCs/>
                <w:lang w:eastAsia="zh-CN"/>
              </w:rPr>
              <w:t>共计</w:t>
            </w:r>
            <w:r>
              <w:rPr>
                <w:rFonts w:hint="eastAsia" w:ascii="宋体" w:hAnsi="宋体" w:eastAsia="宋体" w:cs="宋体"/>
                <w:b/>
                <w:bCs/>
                <w:lang w:val="en-US" w:eastAsia="zh-CN"/>
              </w:rPr>
              <w:t>9个单位</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年资助救助≥50人</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年资助救助42人</w:t>
            </w:r>
          </w:p>
        </w:tc>
      </w:tr>
      <w:tr>
        <w:tblPrEx>
          <w:tblCellMar>
            <w:top w:w="0" w:type="dxa"/>
            <w:left w:w="0" w:type="dxa"/>
            <w:bottom w:w="0" w:type="dxa"/>
            <w:right w:w="0" w:type="dxa"/>
          </w:tblCellMar>
        </w:tblPrEx>
        <w:trPr>
          <w:trHeight w:val="1005"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完成时间</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463"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达社会效益</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对信访群众开展资助救助。提高对生活的信心，</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对</w:t>
            </w:r>
            <w:r>
              <w:rPr>
                <w:rFonts w:hint="eastAsia" w:ascii="宋体" w:hAnsi="宋体" w:eastAsia="宋体" w:cs="宋体"/>
                <w:b/>
                <w:bCs/>
                <w:lang w:eastAsia="zh-CN"/>
              </w:rPr>
              <w:t>信访群众开展资助救助。提高对生活的信心，</w:t>
            </w:r>
          </w:p>
        </w:tc>
      </w:tr>
      <w:tr>
        <w:tblPrEx>
          <w:tblCellMar>
            <w:top w:w="0" w:type="dxa"/>
            <w:left w:w="0" w:type="dxa"/>
            <w:bottom w:w="0" w:type="dxa"/>
            <w:right w:w="0" w:type="dxa"/>
          </w:tblCellMar>
        </w:tblPrEx>
        <w:trPr>
          <w:trHeight w:val="1043"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群众满意度</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满意度≥95%</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100%</w:t>
            </w:r>
          </w:p>
        </w:tc>
      </w:tr>
    </w:tbl>
    <w:p>
      <w:pPr>
        <w:pageBreakBefore w:val="0"/>
        <w:numPr>
          <w:ilvl w:val="0"/>
          <w:numId w:val="0"/>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p>
    <w:p>
      <w:pPr>
        <w:pageBreakBefore w:val="0"/>
        <w:numPr>
          <w:ilvl w:val="0"/>
          <w:numId w:val="0"/>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p>
    <w:p>
      <w:pPr>
        <w:pageBreakBefore w:val="0"/>
        <w:numPr>
          <w:ilvl w:val="0"/>
          <w:numId w:val="0"/>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p>
    <w:p>
      <w:pPr>
        <w:pageBreakBefore w:val="0"/>
        <w:numPr>
          <w:ilvl w:val="0"/>
          <w:numId w:val="0"/>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p>
    <w:p>
      <w:pPr>
        <w:pageBreakBefore w:val="0"/>
        <w:numPr>
          <w:ilvl w:val="0"/>
          <w:numId w:val="0"/>
        </w:numPr>
        <w:kinsoku/>
        <w:wordWrap/>
        <w:overflowPunct/>
        <w:topLinePunct w:val="0"/>
        <w:bidi w:val="0"/>
        <w:spacing w:line="576" w:lineRule="exact"/>
        <w:ind w:firstLine="642" w:firstLineChars="200"/>
        <w:rPr>
          <w:rFonts w:hint="eastAsia"/>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）远程视频服务</w:t>
      </w:r>
      <w:r>
        <w:rPr>
          <w:rFonts w:hint="eastAsia" w:ascii="仿宋_GB2312" w:hAnsi="仿宋_GB2312" w:eastAsia="仿宋_GB2312" w:cs="仿宋_GB2312"/>
          <w:b/>
          <w:bCs/>
          <w:sz w:val="32"/>
          <w:szCs w:val="32"/>
        </w:rPr>
        <w:t>项目绩效目标完成情况综述。项目全年预算数</w:t>
      </w:r>
      <w:r>
        <w:rPr>
          <w:rFonts w:hint="eastAsia" w:ascii="仿宋_GB2312" w:hAnsi="仿宋_GB2312" w:eastAsia="仿宋_GB2312" w:cs="仿宋_GB2312"/>
          <w:b/>
          <w:bCs/>
          <w:sz w:val="32"/>
          <w:szCs w:val="32"/>
          <w:lang w:val="en-US" w:eastAsia="zh-CN"/>
        </w:rPr>
        <w:t>10.58</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10.58</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保障了国家、省、市、县四级视频畅通，保障了全市领导接访监督、远程接访的实现，各项会议的畅通。发现主要问题：一是系统运行时间</w:t>
      </w:r>
      <w:r>
        <w:rPr>
          <w:rFonts w:hint="eastAsia" w:ascii="仿宋_GB2312" w:hAnsi="仿宋_GB2312" w:eastAsia="仿宋_GB2312" w:cs="仿宋_GB2312"/>
          <w:b/>
          <w:bCs/>
          <w:sz w:val="32"/>
          <w:szCs w:val="32"/>
          <w:lang w:val="en-US" w:eastAsia="zh-CN"/>
        </w:rPr>
        <w:t>8年，个别设备陈旧需要更换；二是各使用单位操控人员使用设备能力不足。下一步改进措施：一是对陈旧确实需要更换的设备进行采购；二是加强操控人员的技术培训。</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79" w:type="dxa"/>
        <w:jc w:val="center"/>
        <w:tblLayout w:type="fixed"/>
        <w:tblCellMar>
          <w:top w:w="0" w:type="dxa"/>
          <w:left w:w="0" w:type="dxa"/>
          <w:bottom w:w="0" w:type="dxa"/>
          <w:right w:w="0" w:type="dxa"/>
        </w:tblCellMar>
      </w:tblPr>
      <w:tblGrid>
        <w:gridCol w:w="1292"/>
        <w:gridCol w:w="930"/>
        <w:gridCol w:w="1343"/>
        <w:gridCol w:w="2087"/>
        <w:gridCol w:w="2235"/>
        <w:gridCol w:w="2092"/>
      </w:tblGrid>
      <w:tr>
        <w:tblPrEx>
          <w:tblCellMar>
            <w:top w:w="0" w:type="dxa"/>
            <w:left w:w="0" w:type="dxa"/>
            <w:bottom w:w="0" w:type="dxa"/>
            <w:right w:w="0" w:type="dxa"/>
          </w:tblCellMar>
        </w:tblPrEx>
        <w:trPr>
          <w:trHeight w:val="680" w:hRule="atLeast"/>
          <w:jc w:val="center"/>
        </w:trPr>
        <w:tc>
          <w:tcPr>
            <w:tcW w:w="356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信访远程视频服务</w:t>
            </w:r>
          </w:p>
        </w:tc>
      </w:tr>
      <w:tr>
        <w:tblPrEx>
          <w:tblCellMar>
            <w:top w:w="0" w:type="dxa"/>
            <w:left w:w="0" w:type="dxa"/>
            <w:bottom w:w="0" w:type="dxa"/>
            <w:right w:w="0" w:type="dxa"/>
          </w:tblCellMar>
        </w:tblPrEx>
        <w:trPr>
          <w:trHeight w:val="680" w:hRule="atLeast"/>
          <w:jc w:val="center"/>
        </w:trPr>
        <w:tc>
          <w:tcPr>
            <w:tcW w:w="356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680" w:hRule="atLeast"/>
          <w:jc w:val="center"/>
        </w:trPr>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7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680"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10.58</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627"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680" w:hRule="atLeast"/>
          <w:jc w:val="center"/>
        </w:trPr>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6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2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836"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6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联通国家、省、市、县机构，以及有权处理信访问题的职能部门，实现会议培训、接访会商、应急调度等工作应用</w:t>
            </w:r>
            <w:r>
              <w:rPr>
                <w:rFonts w:hint="eastAsia" w:ascii="宋体" w:hAnsi="宋体" w:cs="宋体"/>
                <w:b/>
                <w:bCs/>
                <w:lang w:val="en-US" w:eastAsia="zh-CN"/>
              </w:rPr>
              <w:t>。</w:t>
            </w:r>
            <w:r>
              <w:rPr>
                <w:rFonts w:hint="eastAsia" w:ascii="宋体" w:hAnsi="宋体" w:eastAsia="宋体" w:cs="宋体"/>
                <w:b/>
                <w:bCs/>
                <w:lang w:val="en-US" w:eastAsia="zh-CN"/>
              </w:rPr>
              <w:t xml:space="preserve">     </w:t>
            </w:r>
          </w:p>
        </w:tc>
        <w:tc>
          <w:tcPr>
            <w:tcW w:w="432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联通国家、省、市、县机构，以及有权处理信访问题的职能部门，实现会议培训、接访会商、应急调度等工作应用；</w:t>
            </w:r>
          </w:p>
        </w:tc>
      </w:tr>
      <w:tr>
        <w:tblPrEx>
          <w:tblCellMar>
            <w:top w:w="0" w:type="dxa"/>
            <w:left w:w="0" w:type="dxa"/>
            <w:bottom w:w="0" w:type="dxa"/>
            <w:right w:w="0" w:type="dxa"/>
          </w:tblCellMar>
        </w:tblPrEx>
        <w:trPr>
          <w:trHeight w:val="1130" w:hRule="atLeast"/>
          <w:jc w:val="center"/>
        </w:trPr>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1023"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使用套数</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市本级及县区共计8套设备</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市本级及县区共计8套设备</w:t>
            </w:r>
          </w:p>
        </w:tc>
      </w:tr>
      <w:tr>
        <w:tblPrEx>
          <w:tblCellMar>
            <w:top w:w="0" w:type="dxa"/>
            <w:left w:w="0" w:type="dxa"/>
            <w:bottom w:w="0" w:type="dxa"/>
            <w:right w:w="0" w:type="dxa"/>
          </w:tblCellMar>
        </w:tblPrEx>
        <w:trPr>
          <w:trHeight w:val="791"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550"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可持续影响指标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远程视频接访</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对涉及市级部门的信访事项、县区可通过视频连接预约市级部门远程接待信访人，协商协调信访事项。</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对涉及市级部门的信访事项、县区可通过视频连接预约市级部门远程接待信访人，协商协调信访事项。</w:t>
            </w:r>
          </w:p>
        </w:tc>
      </w:tr>
      <w:tr>
        <w:tblPrEx>
          <w:tblCellMar>
            <w:top w:w="0" w:type="dxa"/>
            <w:left w:w="0" w:type="dxa"/>
            <w:bottom w:w="0" w:type="dxa"/>
            <w:right w:w="0" w:type="dxa"/>
          </w:tblCellMar>
        </w:tblPrEx>
        <w:trPr>
          <w:trHeight w:val="1245"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p>
        </w:tc>
        <w:tc>
          <w:tcPr>
            <w:tcW w:w="134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视频会议培</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连接上级开展信访业务培训，市本级通过系统向全市进行信访业务培训。</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连接上级开展信访业务培训，市本级通过系统向全市进行信访业务培训。</w:t>
            </w:r>
          </w:p>
        </w:tc>
      </w:tr>
      <w:tr>
        <w:tblPrEx>
          <w:tblCellMar>
            <w:top w:w="0" w:type="dxa"/>
            <w:left w:w="0" w:type="dxa"/>
            <w:bottom w:w="0" w:type="dxa"/>
            <w:right w:w="0" w:type="dxa"/>
          </w:tblCellMar>
        </w:tblPrEx>
        <w:trPr>
          <w:trHeight w:val="1172" w:hRule="atLeast"/>
          <w:jc w:val="center"/>
        </w:trPr>
        <w:tc>
          <w:tcPr>
            <w:tcW w:w="129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使用单位满意度</w:t>
            </w:r>
          </w:p>
        </w:tc>
        <w:tc>
          <w:tcPr>
            <w:tcW w:w="22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满意度≥95%</w:t>
            </w:r>
          </w:p>
        </w:tc>
        <w:tc>
          <w:tcPr>
            <w:tcW w:w="2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100%</w:t>
            </w:r>
          </w:p>
        </w:tc>
      </w:tr>
    </w:tbl>
    <w:p>
      <w:pPr>
        <w:pageBreakBefore w:val="0"/>
        <w:widowControl/>
        <w:numPr>
          <w:ilvl w:val="0"/>
          <w:numId w:val="0"/>
        </w:numPr>
        <w:kinsoku/>
        <w:wordWrap/>
        <w:overflowPunct/>
        <w:topLinePunct w:val="0"/>
        <w:bidi w:val="0"/>
        <w:spacing w:line="576" w:lineRule="exact"/>
        <w:ind w:firstLine="642" w:firstLineChars="200"/>
        <w:jc w:val="both"/>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（3）信访维稳信息费</w:t>
      </w:r>
      <w:r>
        <w:rPr>
          <w:rFonts w:hint="eastAsia" w:ascii="仿宋_GB2312" w:hAnsi="仿宋_GB2312" w:eastAsia="仿宋_GB2312" w:cs="仿宋_GB2312"/>
          <w:b/>
          <w:bCs/>
          <w:sz w:val="32"/>
          <w:szCs w:val="32"/>
        </w:rPr>
        <w:t>项目绩效目标完成情况综述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项目全年预算数</w:t>
      </w:r>
      <w:r>
        <w:rPr>
          <w:rFonts w:hint="eastAsia" w:ascii="仿宋_GB2312" w:hAnsi="仿宋_GB2312" w:eastAsia="仿宋_GB2312" w:cs="仿宋_GB2312"/>
          <w:b/>
          <w:bCs/>
          <w:sz w:val="32"/>
          <w:szCs w:val="32"/>
          <w:lang w:val="en-US" w:eastAsia="zh-CN"/>
        </w:rPr>
        <w:t>4.50</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4.50</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保障了全国信访信息系统网、书记市长信箱等信访投诉平台的运行维护。发现主要问题：项目服务需要再精细化。下一步改进措施：协调维护公司，加强系统的维护和数据的提取分析。</w:t>
      </w: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59" w:type="dxa"/>
        <w:jc w:val="center"/>
        <w:tblLayout w:type="fixed"/>
        <w:tblCellMar>
          <w:top w:w="0" w:type="dxa"/>
          <w:left w:w="0" w:type="dxa"/>
          <w:bottom w:w="0" w:type="dxa"/>
          <w:right w:w="0" w:type="dxa"/>
        </w:tblCellMar>
      </w:tblPr>
      <w:tblGrid>
        <w:gridCol w:w="1289"/>
        <w:gridCol w:w="928"/>
        <w:gridCol w:w="1341"/>
        <w:gridCol w:w="2083"/>
        <w:gridCol w:w="2230"/>
        <w:gridCol w:w="2088"/>
      </w:tblGrid>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信访维稳信息费</w:t>
            </w:r>
          </w:p>
        </w:tc>
      </w:tr>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82"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46"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589"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支付信访投诉受理平台运行维护费</w:t>
            </w:r>
            <w:r>
              <w:rPr>
                <w:rFonts w:hint="eastAsia" w:ascii="宋体" w:hAnsi="宋体" w:eastAsia="宋体" w:cs="宋体"/>
                <w:b/>
                <w:bCs/>
                <w:lang w:val="en-US" w:eastAsia="zh-CN"/>
              </w:rPr>
              <w:t xml:space="preserve">   </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val="en-US" w:eastAsia="zh-CN"/>
              </w:rPr>
              <w:t>支付信访投诉受理平台运行维护费</w:t>
            </w:r>
            <w:r>
              <w:rPr>
                <w:rFonts w:hint="eastAsia" w:ascii="宋体" w:hAnsi="宋体" w:eastAsia="宋体" w:cs="宋体"/>
                <w:b/>
                <w:bCs/>
                <w:lang w:val="en-US" w:eastAsia="zh-CN"/>
              </w:rPr>
              <w:t xml:space="preserve">  </w:t>
            </w:r>
          </w:p>
        </w:tc>
      </w:tr>
      <w:tr>
        <w:tblPrEx>
          <w:tblCellMar>
            <w:top w:w="0" w:type="dxa"/>
            <w:left w:w="0" w:type="dxa"/>
            <w:bottom w:w="0" w:type="dxa"/>
            <w:right w:w="0" w:type="dxa"/>
          </w:tblCellMar>
        </w:tblPrEx>
        <w:trPr>
          <w:trHeight w:val="790"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71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信访投诉及全国信息系统运行</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保障3个信访网络平台稳定高效运行</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保障3个信访网络平台稳定高效运行</w:t>
            </w:r>
          </w:p>
        </w:tc>
      </w:tr>
      <w:tr>
        <w:tblPrEx>
          <w:tblCellMar>
            <w:top w:w="0" w:type="dxa"/>
            <w:left w:w="0" w:type="dxa"/>
            <w:bottom w:w="0" w:type="dxa"/>
            <w:right w:w="0" w:type="dxa"/>
          </w:tblCellMar>
        </w:tblPrEx>
        <w:trPr>
          <w:trHeight w:val="558"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07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1"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可持续影响指标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平台使用</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left"/>
              <w:rPr>
                <w:rFonts w:hint="eastAsia" w:ascii="宋体" w:hAnsi="宋体" w:eastAsia="宋体" w:cs="宋体"/>
                <w:b/>
                <w:bCs/>
                <w:lang w:eastAsia="zh-CN"/>
              </w:rPr>
            </w:pPr>
            <w:r>
              <w:rPr>
                <w:rFonts w:hint="eastAsia" w:ascii="宋体" w:hAnsi="宋体" w:eastAsia="宋体" w:cs="宋体"/>
                <w:b/>
                <w:bCs/>
                <w:lang w:eastAsia="zh-CN"/>
              </w:rPr>
              <w:t>全市各信访部门和全市信访各机构使用科学、高效</w:t>
            </w:r>
            <w:r>
              <w:rPr>
                <w:rFonts w:hint="eastAsia" w:ascii="宋体" w:hAnsi="宋体" w:cs="宋体"/>
                <w:b/>
                <w:bCs/>
                <w:lang w:eastAsia="zh-CN"/>
              </w:rPr>
              <w:t>；</w:t>
            </w:r>
            <w:r>
              <w:rPr>
                <w:rFonts w:hint="eastAsia" w:ascii="宋体" w:hAnsi="宋体" w:eastAsia="宋体" w:cs="宋体"/>
                <w:b/>
                <w:bCs/>
                <w:lang w:eastAsia="zh-CN"/>
              </w:rPr>
              <w:t>群众投诉使用便捷。</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eastAsia="zh-CN"/>
              </w:rPr>
              <w:t>全市各信访部门和全市信访各机构使用科学、高效</w:t>
            </w:r>
            <w:r>
              <w:rPr>
                <w:rFonts w:hint="eastAsia" w:ascii="宋体" w:hAnsi="宋体" w:cs="宋体"/>
                <w:b/>
                <w:bCs/>
                <w:lang w:eastAsia="zh-CN"/>
              </w:rPr>
              <w:t>；</w:t>
            </w:r>
            <w:r>
              <w:rPr>
                <w:rFonts w:hint="eastAsia" w:ascii="宋体" w:hAnsi="宋体" w:eastAsia="宋体" w:cs="宋体"/>
                <w:b/>
                <w:bCs/>
                <w:lang w:eastAsia="zh-CN"/>
              </w:rPr>
              <w:t>群众投诉使用便捷。</w:t>
            </w:r>
          </w:p>
        </w:tc>
      </w:tr>
      <w:tr>
        <w:tblPrEx>
          <w:tblCellMar>
            <w:top w:w="0" w:type="dxa"/>
            <w:left w:w="0" w:type="dxa"/>
            <w:bottom w:w="0" w:type="dxa"/>
            <w:right w:w="0" w:type="dxa"/>
          </w:tblCellMar>
        </w:tblPrEx>
        <w:trPr>
          <w:trHeight w:val="825"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使用单位满意度</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w:t>
            </w:r>
            <w:r>
              <w:rPr>
                <w:rFonts w:hint="eastAsia" w:ascii="宋体" w:hAnsi="宋体" w:cs="宋体"/>
                <w:b/>
                <w:bCs/>
                <w:lang w:val="en-US" w:eastAsia="zh-CN"/>
              </w:rPr>
              <w:t>100</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100%</w:t>
            </w:r>
          </w:p>
        </w:tc>
      </w:tr>
    </w:tbl>
    <w:p>
      <w:pPr>
        <w:pageBreakBefore w:val="0"/>
        <w:widowControl/>
        <w:numPr>
          <w:ilvl w:val="0"/>
          <w:numId w:val="0"/>
        </w:numPr>
        <w:kinsoku/>
        <w:wordWrap/>
        <w:overflowPunct/>
        <w:topLinePunct w:val="0"/>
        <w:bidi w:val="0"/>
        <w:spacing w:line="576" w:lineRule="exact"/>
        <w:ind w:firstLine="642" w:firstLineChars="200"/>
        <w:jc w:val="both"/>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）法律顾问</w:t>
      </w:r>
      <w:r>
        <w:rPr>
          <w:rFonts w:hint="eastAsia" w:ascii="仿宋_GB2312" w:hAnsi="仿宋_GB2312" w:eastAsia="仿宋_GB2312" w:cs="仿宋_GB2312"/>
          <w:b/>
          <w:bCs/>
          <w:sz w:val="32"/>
          <w:szCs w:val="32"/>
        </w:rPr>
        <w:t>项目绩效目标完成情况综述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项目全年预算数</w:t>
      </w:r>
      <w:r>
        <w:rPr>
          <w:rFonts w:hint="eastAsia" w:ascii="仿宋_GB2312" w:hAnsi="仿宋_GB2312" w:eastAsia="仿宋_GB2312" w:cs="仿宋_GB2312"/>
          <w:b/>
          <w:bCs/>
          <w:sz w:val="32"/>
          <w:szCs w:val="32"/>
          <w:lang w:val="en-US" w:eastAsia="zh-CN"/>
        </w:rPr>
        <w:t>2.70</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2.70</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为涉法涉诉的信访群众提供法律咨询和引导，将司法服务第三方纳入信访接待服务中，达到了涉法涉诉信访引入司法途径解决。发现主要问题：通过法律引导和服务部分群众依然希望通过信访解决问题。下一步改进措施：加强诉访分离的宣传和讲解。</w:t>
      </w: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59" w:type="dxa"/>
        <w:jc w:val="center"/>
        <w:tblLayout w:type="fixed"/>
        <w:tblCellMar>
          <w:top w:w="0" w:type="dxa"/>
          <w:left w:w="0" w:type="dxa"/>
          <w:bottom w:w="0" w:type="dxa"/>
          <w:right w:w="0" w:type="dxa"/>
        </w:tblCellMar>
      </w:tblPr>
      <w:tblGrid>
        <w:gridCol w:w="1289"/>
        <w:gridCol w:w="928"/>
        <w:gridCol w:w="1341"/>
        <w:gridCol w:w="2083"/>
        <w:gridCol w:w="2230"/>
        <w:gridCol w:w="2088"/>
      </w:tblGrid>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法律顾问费</w:t>
            </w:r>
          </w:p>
        </w:tc>
      </w:tr>
      <w:tr>
        <w:tblPrEx>
          <w:tblCellMar>
            <w:top w:w="0" w:type="dxa"/>
            <w:left w:w="0" w:type="dxa"/>
            <w:bottom w:w="0" w:type="dxa"/>
            <w:right w:w="0" w:type="dxa"/>
          </w:tblCellMar>
        </w:tblPrEx>
        <w:trPr>
          <w:trHeight w:val="482" w:hRule="atLeast"/>
          <w:jc w:val="center"/>
        </w:trPr>
        <w:tc>
          <w:tcPr>
            <w:tcW w:w="35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0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82"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2.70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446"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482"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589"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在信访场所为涉法涉诉信访事项解答法律问题</w:t>
            </w:r>
            <w:r>
              <w:rPr>
                <w:rFonts w:hint="eastAsia" w:ascii="宋体" w:hAnsi="宋体" w:eastAsia="宋体" w:cs="宋体"/>
                <w:b/>
                <w:bCs/>
                <w:lang w:val="en-US" w:eastAsia="zh-CN"/>
              </w:rPr>
              <w:t xml:space="preserve"> </w:t>
            </w:r>
          </w:p>
        </w:tc>
        <w:tc>
          <w:tcPr>
            <w:tcW w:w="431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val="en-US" w:eastAsia="zh-CN"/>
              </w:rPr>
              <w:t>在信访场所为涉法涉诉信访事项解答法律问题</w:t>
            </w:r>
            <w:r>
              <w:rPr>
                <w:rFonts w:hint="eastAsia" w:ascii="宋体" w:hAnsi="宋体" w:eastAsia="宋体" w:cs="宋体"/>
                <w:b/>
                <w:bCs/>
                <w:lang w:val="en-US" w:eastAsia="zh-CN"/>
              </w:rPr>
              <w:t xml:space="preserve"> </w:t>
            </w:r>
          </w:p>
        </w:tc>
      </w:tr>
      <w:tr>
        <w:tblPrEx>
          <w:tblCellMar>
            <w:top w:w="0" w:type="dxa"/>
            <w:left w:w="0" w:type="dxa"/>
            <w:bottom w:w="0" w:type="dxa"/>
            <w:right w:w="0" w:type="dxa"/>
          </w:tblCellMar>
        </w:tblPrEx>
        <w:trPr>
          <w:trHeight w:val="790" w:hRule="atLeast"/>
          <w:jc w:val="center"/>
        </w:trPr>
        <w:tc>
          <w:tcPr>
            <w:tcW w:w="128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71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服务时间行</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每周五“市领导接待日”进行法律咨询引导，全年≥48天；日常根据本单位需要开展法律工作。</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每周五“市领导接待日”进行法律咨询引导，全年≥48天；日常根据本单位需要开展法律工作。</w:t>
            </w:r>
          </w:p>
        </w:tc>
      </w:tr>
      <w:tr>
        <w:tblPrEx>
          <w:tblCellMar>
            <w:top w:w="0" w:type="dxa"/>
            <w:left w:w="0" w:type="dxa"/>
            <w:bottom w:w="0" w:type="dxa"/>
            <w:right w:w="0" w:type="dxa"/>
          </w:tblCellMar>
        </w:tblPrEx>
        <w:trPr>
          <w:trHeight w:val="558"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07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1"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w:t>
            </w:r>
          </w:p>
          <w:p>
            <w:pPr>
              <w:bidi w:val="0"/>
              <w:rPr>
                <w:rFonts w:hint="eastAsia" w:ascii="宋体" w:hAnsi="宋体" w:eastAsia="宋体" w:cs="宋体"/>
                <w:b/>
                <w:bCs/>
                <w:lang w:eastAsia="zh-CN"/>
              </w:rPr>
            </w:pPr>
            <w:r>
              <w:rPr>
                <w:rFonts w:hint="eastAsia" w:ascii="宋体" w:hAnsi="宋体" w:eastAsia="宋体" w:cs="宋体"/>
                <w:b/>
                <w:bCs/>
                <w:lang w:eastAsia="zh-CN"/>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涉法涉诉法律引导</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left"/>
              <w:rPr>
                <w:rFonts w:hint="eastAsia" w:ascii="宋体" w:hAnsi="宋体" w:eastAsia="宋体" w:cs="宋体"/>
                <w:b/>
                <w:bCs/>
                <w:lang w:eastAsia="zh-CN"/>
              </w:rPr>
            </w:pPr>
            <w:r>
              <w:rPr>
                <w:rFonts w:hint="eastAsia" w:ascii="宋体" w:hAnsi="宋体" w:eastAsia="宋体" w:cs="宋体"/>
                <w:b/>
                <w:bCs/>
                <w:lang w:eastAsia="zh-CN"/>
              </w:rPr>
              <w:t>对不属于信访部门受理的涉法涉诉事项，提供法律咨询，引导通过诉讼解决。</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对不属于信访部门受理的涉法涉诉事项，提供法律咨询，引导通过诉讼解决。</w:t>
            </w:r>
          </w:p>
        </w:tc>
      </w:tr>
      <w:tr>
        <w:tblPrEx>
          <w:tblCellMar>
            <w:top w:w="0" w:type="dxa"/>
            <w:left w:w="0" w:type="dxa"/>
            <w:bottom w:w="0" w:type="dxa"/>
            <w:right w:w="0" w:type="dxa"/>
          </w:tblCellMar>
        </w:tblPrEx>
        <w:trPr>
          <w:trHeight w:val="1077"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vMerge w:val="continue"/>
            <w:tcBorders>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1341"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w:t>
            </w:r>
          </w:p>
          <w:p>
            <w:pPr>
              <w:bidi w:val="0"/>
              <w:rPr>
                <w:rFonts w:hint="eastAsia" w:ascii="宋体" w:hAnsi="宋体" w:eastAsia="宋体" w:cs="宋体"/>
                <w:b/>
                <w:bCs/>
                <w:lang w:eastAsia="zh-CN"/>
              </w:rPr>
            </w:pPr>
            <w:r>
              <w:rPr>
                <w:rFonts w:hint="eastAsia" w:ascii="宋体" w:hAnsi="宋体" w:eastAsia="宋体" w:cs="宋体"/>
                <w:b/>
                <w:bCs/>
                <w:lang w:eastAsia="zh-CN"/>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法治社会明显、依法走访落实。</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left"/>
              <w:rPr>
                <w:rFonts w:hint="eastAsia" w:ascii="宋体" w:hAnsi="宋体" w:eastAsia="宋体" w:cs="宋体"/>
                <w:b/>
                <w:bCs/>
                <w:lang w:eastAsia="zh-CN"/>
              </w:rPr>
            </w:pPr>
            <w:r>
              <w:rPr>
                <w:rFonts w:hint="eastAsia" w:ascii="宋体" w:hAnsi="宋体" w:eastAsia="宋体" w:cs="宋体"/>
                <w:b/>
                <w:bCs/>
                <w:lang w:eastAsia="zh-CN"/>
              </w:rPr>
              <w:t>让群众实实在在的明白法治社会依法信访，对民事类纠纷的信访事项，须通过司法的途径解决。</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让群众实实在在的明白法治社会依法信访，对民事类纠纷的信访事项，须通过司法的途径解决。</w:t>
            </w:r>
          </w:p>
        </w:tc>
      </w:tr>
      <w:tr>
        <w:tblPrEx>
          <w:tblCellMar>
            <w:top w:w="0" w:type="dxa"/>
            <w:left w:w="0" w:type="dxa"/>
            <w:bottom w:w="0" w:type="dxa"/>
            <w:right w:w="0" w:type="dxa"/>
          </w:tblCellMar>
        </w:tblPrEx>
        <w:trPr>
          <w:trHeight w:val="825" w:hRule="atLeast"/>
          <w:jc w:val="center"/>
        </w:trPr>
        <w:tc>
          <w:tcPr>
            <w:tcW w:w="128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群众</w:t>
            </w:r>
            <w:r>
              <w:rPr>
                <w:rFonts w:hint="eastAsia" w:ascii="宋体" w:hAnsi="宋体" w:eastAsia="宋体" w:cs="宋体"/>
                <w:b/>
                <w:bCs/>
                <w:lang w:eastAsia="zh-CN"/>
              </w:rPr>
              <w:t>满意度</w:t>
            </w:r>
          </w:p>
        </w:tc>
        <w:tc>
          <w:tcPr>
            <w:tcW w:w="2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w:t>
            </w:r>
            <w:r>
              <w:rPr>
                <w:rFonts w:hint="eastAsia" w:ascii="宋体" w:hAnsi="宋体" w:cs="宋体"/>
                <w:b/>
                <w:bCs/>
                <w:lang w:val="en-US" w:eastAsia="zh-CN"/>
              </w:rPr>
              <w:t>95</w:t>
            </w:r>
            <w:r>
              <w:rPr>
                <w:rFonts w:hint="eastAsia" w:ascii="宋体" w:hAnsi="宋体" w:eastAsia="宋体" w:cs="宋体"/>
                <w:b/>
                <w:bCs/>
                <w:lang w:eastAsia="zh-CN"/>
              </w:rPr>
              <w:t>%</w:t>
            </w:r>
          </w:p>
        </w:tc>
        <w:tc>
          <w:tcPr>
            <w:tcW w:w="20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eastAsia="zh-CN"/>
              </w:rPr>
              <w:t>满意度≥</w:t>
            </w:r>
            <w:r>
              <w:rPr>
                <w:rFonts w:hint="eastAsia" w:ascii="宋体" w:hAnsi="宋体" w:cs="宋体"/>
                <w:b/>
                <w:bCs/>
                <w:lang w:val="en-US" w:eastAsia="zh-CN"/>
              </w:rPr>
              <w:t>95</w:t>
            </w:r>
            <w:r>
              <w:rPr>
                <w:rFonts w:hint="eastAsia" w:ascii="宋体" w:hAnsi="宋体" w:eastAsia="宋体" w:cs="宋体"/>
                <w:b/>
                <w:bCs/>
                <w:lang w:eastAsia="zh-CN"/>
              </w:rPr>
              <w:t>%</w:t>
            </w:r>
          </w:p>
        </w:tc>
      </w:tr>
    </w:tbl>
    <w:p>
      <w:pPr>
        <w:pStyle w:val="2"/>
        <w:widowControl w:val="0"/>
        <w:numPr>
          <w:ilvl w:val="0"/>
          <w:numId w:val="0"/>
        </w:numPr>
        <w:spacing w:beforeLines="30"/>
        <w:jc w:val="both"/>
        <w:rPr>
          <w:rFonts w:hint="eastAsia"/>
          <w:lang w:val="en-US" w:eastAsia="zh-CN"/>
        </w:rPr>
      </w:pPr>
    </w:p>
    <w:p>
      <w:pPr>
        <w:pStyle w:val="2"/>
        <w:widowControl w:val="0"/>
        <w:numPr>
          <w:ilvl w:val="0"/>
          <w:numId w:val="0"/>
        </w:numPr>
        <w:spacing w:beforeLines="30"/>
        <w:jc w:val="both"/>
        <w:rPr>
          <w:rFonts w:hint="eastAsia"/>
          <w:lang w:val="en-US" w:eastAsia="zh-CN"/>
        </w:rPr>
      </w:pPr>
    </w:p>
    <w:p>
      <w:pPr>
        <w:pageBreakBefore w:val="0"/>
        <w:widowControl/>
        <w:numPr>
          <w:ilvl w:val="0"/>
          <w:numId w:val="0"/>
        </w:numPr>
        <w:kinsoku/>
        <w:wordWrap/>
        <w:overflowPunct/>
        <w:topLinePunct w:val="0"/>
        <w:bidi w:val="0"/>
        <w:spacing w:line="576" w:lineRule="exact"/>
        <w:ind w:firstLine="642" w:firstLineChars="200"/>
        <w:jc w:val="both"/>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）特殊疑难信访资金</w:t>
      </w:r>
      <w:r>
        <w:rPr>
          <w:rFonts w:hint="eastAsia" w:ascii="仿宋_GB2312" w:hAnsi="仿宋_GB2312" w:eastAsia="仿宋_GB2312" w:cs="仿宋_GB2312"/>
          <w:b/>
          <w:bCs/>
          <w:sz w:val="32"/>
          <w:szCs w:val="32"/>
        </w:rPr>
        <w:t>项目绩效目标完成情况综述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项目全年预算数</w:t>
      </w:r>
      <w:r>
        <w:rPr>
          <w:rFonts w:hint="eastAsia" w:ascii="仿宋_GB2312" w:hAnsi="仿宋_GB2312" w:eastAsia="仿宋_GB2312" w:cs="仿宋_GB2312"/>
          <w:b/>
          <w:bCs/>
          <w:sz w:val="32"/>
          <w:szCs w:val="32"/>
          <w:lang w:val="en-US" w:eastAsia="zh-CN"/>
        </w:rPr>
        <w:t>3.42</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3.42</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对特殊疑难信访案件进行化解，逐步减少老、难信访户的化解问题，减少进京到省的走访。发现主要问题：存在化解后又有返回信访的情况。下一步改进措施：加强化解力度，确保化解不反弹。</w:t>
      </w: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9999" w:type="dxa"/>
        <w:jc w:val="center"/>
        <w:tblLayout w:type="fixed"/>
        <w:tblCellMar>
          <w:top w:w="0" w:type="dxa"/>
          <w:left w:w="0" w:type="dxa"/>
          <w:bottom w:w="0" w:type="dxa"/>
          <w:right w:w="0" w:type="dxa"/>
        </w:tblCellMar>
      </w:tblPr>
      <w:tblGrid>
        <w:gridCol w:w="1293"/>
        <w:gridCol w:w="930"/>
        <w:gridCol w:w="1349"/>
        <w:gridCol w:w="2091"/>
        <w:gridCol w:w="2238"/>
        <w:gridCol w:w="2098"/>
      </w:tblGrid>
      <w:tr>
        <w:tblPrEx>
          <w:tblCellMar>
            <w:top w:w="0" w:type="dxa"/>
            <w:left w:w="0" w:type="dxa"/>
            <w:bottom w:w="0" w:type="dxa"/>
            <w:right w:w="0" w:type="dxa"/>
          </w:tblCellMar>
        </w:tblPrEx>
        <w:trPr>
          <w:trHeight w:val="362" w:hRule="atLeast"/>
          <w:jc w:val="center"/>
        </w:trPr>
        <w:tc>
          <w:tcPr>
            <w:tcW w:w="357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427"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特殊疑难信访资金</w:t>
            </w:r>
          </w:p>
        </w:tc>
      </w:tr>
      <w:tr>
        <w:tblPrEx>
          <w:tblCellMar>
            <w:top w:w="0" w:type="dxa"/>
            <w:left w:w="0" w:type="dxa"/>
            <w:bottom w:w="0" w:type="dxa"/>
            <w:right w:w="0" w:type="dxa"/>
          </w:tblCellMar>
        </w:tblPrEx>
        <w:trPr>
          <w:trHeight w:val="362" w:hRule="atLeast"/>
          <w:jc w:val="center"/>
        </w:trPr>
        <w:tc>
          <w:tcPr>
            <w:tcW w:w="357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427"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中共广元市委群众工作局</w:t>
            </w:r>
          </w:p>
        </w:tc>
      </w:tr>
      <w:tr>
        <w:tblPrEx>
          <w:tblCellMar>
            <w:top w:w="0" w:type="dxa"/>
            <w:left w:w="0" w:type="dxa"/>
            <w:bottom w:w="0" w:type="dxa"/>
            <w:right w:w="0" w:type="dxa"/>
          </w:tblCellMar>
        </w:tblPrEx>
        <w:trPr>
          <w:trHeight w:val="362"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2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36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cs="宋体"/>
                <w:b/>
                <w:bCs/>
                <w:lang w:val="en-US" w:eastAsia="zh-CN"/>
              </w:rPr>
              <w:t>4.50</w:t>
            </w:r>
            <w:r>
              <w:rPr>
                <w:rFonts w:hint="eastAsia" w:ascii="宋体" w:hAnsi="宋体" w:eastAsia="宋体" w:cs="宋体"/>
                <w:b/>
                <w:bCs/>
                <w:lang w:val="en-US" w:eastAsia="zh-CN"/>
              </w:rPr>
              <w:t>万</w:t>
            </w:r>
          </w:p>
        </w:tc>
      </w:tr>
      <w:tr>
        <w:tblPrEx>
          <w:tblCellMar>
            <w:top w:w="0" w:type="dxa"/>
            <w:left w:w="0" w:type="dxa"/>
            <w:bottom w:w="0" w:type="dxa"/>
            <w:right w:w="0" w:type="dxa"/>
          </w:tblCellMar>
        </w:tblPrEx>
        <w:trPr>
          <w:trHeight w:val="36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2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362"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37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33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698"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37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开展到省、进京疑难信访事项化解工作，确保到省、进京信访老户逐步化解，</w:t>
            </w:r>
            <w:r>
              <w:rPr>
                <w:rFonts w:hint="eastAsia" w:ascii="宋体" w:hAnsi="宋体" w:eastAsia="宋体" w:cs="宋体"/>
                <w:b/>
                <w:bCs/>
                <w:lang w:val="en-US" w:eastAsia="zh-CN"/>
              </w:rPr>
              <w:t xml:space="preserve"> </w:t>
            </w:r>
          </w:p>
        </w:tc>
        <w:tc>
          <w:tcPr>
            <w:tcW w:w="433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val="en-US" w:eastAsia="zh-CN"/>
              </w:rPr>
              <w:t>开展到省、进京疑难信访事项化解工作，确保到省、进京信访老户逐步化解，</w:t>
            </w:r>
            <w:r>
              <w:rPr>
                <w:rFonts w:hint="eastAsia" w:ascii="宋体" w:hAnsi="宋体" w:eastAsia="宋体" w:cs="宋体"/>
                <w:b/>
                <w:bCs/>
                <w:lang w:val="en-US" w:eastAsia="zh-CN"/>
              </w:rPr>
              <w:t xml:space="preserve"> </w:t>
            </w:r>
          </w:p>
        </w:tc>
      </w:tr>
      <w:tr>
        <w:tblPrEx>
          <w:tblCellMar>
            <w:top w:w="0" w:type="dxa"/>
            <w:left w:w="0" w:type="dxa"/>
            <w:bottom w:w="0" w:type="dxa"/>
            <w:right w:w="0" w:type="dxa"/>
          </w:tblCellMar>
        </w:tblPrEx>
        <w:trPr>
          <w:trHeight w:val="698" w:hRule="atLeast"/>
          <w:jc w:val="center"/>
        </w:trPr>
        <w:tc>
          <w:tcPr>
            <w:tcW w:w="12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698"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cs="宋体"/>
                <w:b/>
                <w:bCs/>
                <w:lang w:val="en-US" w:eastAsia="zh-CN"/>
              </w:rPr>
              <w:t>特殊疑难信访事项化解</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化解特殊疑难信访事项≥</w:t>
            </w:r>
            <w:r>
              <w:rPr>
                <w:rFonts w:hint="eastAsia" w:ascii="宋体" w:hAnsi="宋体" w:cs="宋体"/>
                <w:b/>
                <w:bCs/>
                <w:lang w:val="en-US" w:eastAsia="zh-CN"/>
              </w:rPr>
              <w:t>10</w:t>
            </w:r>
            <w:r>
              <w:rPr>
                <w:rFonts w:hint="eastAsia" w:ascii="宋体" w:hAnsi="宋体" w:eastAsia="宋体" w:cs="宋体"/>
                <w:b/>
                <w:bCs/>
                <w:lang w:val="en-US" w:eastAsia="zh-CN"/>
              </w:rPr>
              <w:t>件</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化解特殊疑难信访事项</w:t>
            </w:r>
            <w:r>
              <w:rPr>
                <w:rFonts w:hint="eastAsia" w:ascii="宋体" w:hAnsi="宋体" w:cs="宋体"/>
                <w:b/>
                <w:bCs/>
                <w:lang w:val="en-US" w:eastAsia="zh-CN"/>
              </w:rPr>
              <w:t>12</w:t>
            </w:r>
            <w:r>
              <w:rPr>
                <w:rFonts w:hint="eastAsia" w:ascii="宋体" w:hAnsi="宋体" w:eastAsia="宋体" w:cs="宋体"/>
                <w:b/>
                <w:bCs/>
                <w:lang w:val="en-US" w:eastAsia="zh-CN"/>
              </w:rPr>
              <w:t>件</w:t>
            </w:r>
          </w:p>
        </w:tc>
      </w:tr>
      <w:tr>
        <w:tblPrEx>
          <w:tblCellMar>
            <w:top w:w="0" w:type="dxa"/>
            <w:left w:w="0" w:type="dxa"/>
            <w:bottom w:w="0" w:type="dxa"/>
            <w:right w:w="0" w:type="dxa"/>
          </w:tblCellMar>
        </w:tblPrEx>
        <w:trPr>
          <w:trHeight w:val="362"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continue"/>
            <w:tcBorders>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使用时间</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034"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成本指标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cs="宋体"/>
                <w:b/>
                <w:bCs/>
                <w:lang w:eastAsia="zh-CN"/>
              </w:rPr>
            </w:pPr>
            <w:r>
              <w:rPr>
                <w:rFonts w:hint="eastAsia" w:ascii="宋体" w:hAnsi="宋体" w:eastAsia="宋体" w:cs="宋体"/>
                <w:b/>
                <w:bCs/>
                <w:lang w:val="en-US" w:eastAsia="zh-CN"/>
              </w:rPr>
              <w:t>支付相关费用</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召开听证会，支付会议费，专家费、居民代表误工费。</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召开听证会，支付会议费，专家费、居民代表误工费。</w:t>
            </w:r>
          </w:p>
        </w:tc>
      </w:tr>
      <w:tr>
        <w:tblPrEx>
          <w:tblCellMar>
            <w:top w:w="0" w:type="dxa"/>
            <w:left w:w="0" w:type="dxa"/>
            <w:bottom w:w="0" w:type="dxa"/>
            <w:right w:w="0" w:type="dxa"/>
          </w:tblCellMar>
        </w:tblPrEx>
        <w:trPr>
          <w:trHeight w:val="1034"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49" w:type="dxa"/>
            <w:tcBorders>
              <w:top w:val="single" w:color="auto" w:sz="4" w:space="0"/>
              <w:left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w:t>
            </w:r>
          </w:p>
          <w:p>
            <w:pPr>
              <w:bidi w:val="0"/>
              <w:rPr>
                <w:rFonts w:hint="eastAsia" w:ascii="宋体" w:hAnsi="宋体" w:eastAsia="宋体" w:cs="宋体"/>
                <w:b/>
                <w:bCs/>
                <w:lang w:eastAsia="zh-CN"/>
              </w:rPr>
            </w:pPr>
            <w:r>
              <w:rPr>
                <w:rFonts w:hint="eastAsia" w:ascii="宋体" w:hAnsi="宋体" w:eastAsia="宋体" w:cs="宋体"/>
                <w:b/>
                <w:bCs/>
                <w:lang w:eastAsia="zh-CN"/>
              </w:rPr>
              <w:t>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cs="宋体"/>
                <w:b/>
                <w:bCs/>
                <w:lang w:eastAsia="zh-CN"/>
              </w:rPr>
            </w:pPr>
            <w:r>
              <w:rPr>
                <w:rFonts w:hint="eastAsia" w:ascii="宋体" w:hAnsi="宋体" w:cs="宋体"/>
                <w:b/>
                <w:bCs/>
                <w:lang w:eastAsia="zh-CN"/>
              </w:rPr>
              <w:t>矛盾纠纷下降</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cs="宋体"/>
                <w:b/>
                <w:bCs/>
                <w:lang w:eastAsia="zh-CN"/>
              </w:rPr>
            </w:pPr>
            <w:r>
              <w:rPr>
                <w:rFonts w:hint="eastAsia" w:ascii="宋体" w:hAnsi="宋体" w:cs="宋体"/>
                <w:b/>
                <w:bCs/>
                <w:lang w:eastAsia="zh-CN"/>
              </w:rPr>
              <w:t>完成上级下达化解指标，群众越级走访下降≤10%</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完成上级下达化解指标，群众越级走访下降≤10%</w:t>
            </w:r>
          </w:p>
        </w:tc>
      </w:tr>
      <w:tr>
        <w:tblPrEx>
          <w:tblCellMar>
            <w:top w:w="0" w:type="dxa"/>
            <w:left w:w="0" w:type="dxa"/>
            <w:bottom w:w="0" w:type="dxa"/>
            <w:right w:w="0" w:type="dxa"/>
          </w:tblCellMar>
        </w:tblPrEx>
        <w:trPr>
          <w:trHeight w:val="709" w:hRule="atLeast"/>
          <w:jc w:val="center"/>
        </w:trPr>
        <w:tc>
          <w:tcPr>
            <w:tcW w:w="12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cs="宋体"/>
                <w:b/>
                <w:bCs/>
                <w:lang w:eastAsia="zh-CN"/>
              </w:rPr>
              <w:t>群众</w:t>
            </w:r>
            <w:r>
              <w:rPr>
                <w:rFonts w:hint="eastAsia" w:ascii="宋体" w:hAnsi="宋体" w:eastAsia="宋体" w:cs="宋体"/>
                <w:b/>
                <w:bCs/>
                <w:lang w:eastAsia="zh-CN"/>
              </w:rPr>
              <w:t>满意度</w:t>
            </w:r>
          </w:p>
        </w:tc>
        <w:tc>
          <w:tcPr>
            <w:tcW w:w="22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default" w:ascii="宋体" w:hAnsi="宋体" w:eastAsia="宋体" w:cs="宋体"/>
                <w:b/>
                <w:bCs/>
                <w:lang w:val="en-US" w:eastAsia="zh-CN"/>
              </w:rPr>
            </w:pPr>
            <w:r>
              <w:rPr>
                <w:rFonts w:hint="eastAsia" w:ascii="宋体" w:hAnsi="宋体" w:eastAsia="宋体" w:cs="宋体"/>
                <w:b/>
                <w:bCs/>
                <w:lang w:eastAsia="zh-CN"/>
              </w:rPr>
              <w:t>满意度≥</w:t>
            </w:r>
            <w:r>
              <w:rPr>
                <w:rFonts w:hint="eastAsia" w:ascii="宋体" w:hAnsi="宋体" w:cs="宋体"/>
                <w:b/>
                <w:bCs/>
                <w:lang w:val="en-US" w:eastAsia="zh-CN"/>
              </w:rPr>
              <w:t>100%</w:t>
            </w:r>
          </w:p>
        </w:tc>
        <w:tc>
          <w:tcPr>
            <w:tcW w:w="20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default" w:ascii="宋体" w:hAnsi="宋体" w:eastAsia="宋体" w:cs="宋体"/>
                <w:b/>
                <w:bCs/>
                <w:lang w:val="en-US" w:eastAsia="zh-CN"/>
              </w:rPr>
            </w:pPr>
            <w:r>
              <w:rPr>
                <w:rFonts w:hint="eastAsia" w:ascii="宋体" w:hAnsi="宋体" w:eastAsia="宋体" w:cs="宋体"/>
                <w:b/>
                <w:bCs/>
                <w:lang w:eastAsia="zh-CN"/>
              </w:rPr>
              <w:t>满意度≥</w:t>
            </w:r>
            <w:r>
              <w:rPr>
                <w:rFonts w:hint="eastAsia" w:ascii="宋体" w:hAnsi="宋体" w:cs="宋体"/>
                <w:b/>
                <w:bCs/>
                <w:lang w:val="en-US" w:eastAsia="zh-CN"/>
              </w:rPr>
              <w:t>100%</w:t>
            </w:r>
          </w:p>
        </w:tc>
      </w:tr>
    </w:tbl>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both"/>
        <w:textAlignment w:val="center"/>
        <w:rPr>
          <w:rFonts w:ascii="仿宋_GB2312" w:hAnsi="仿宋_GB2312" w:eastAsia="仿宋_GB2312" w:cs="仿宋_GB2312"/>
          <w:b/>
          <w:bCs/>
          <w:sz w:val="32"/>
          <w:szCs w:val="32"/>
        </w:rPr>
      </w:pPr>
    </w:p>
    <w:p>
      <w:pPr>
        <w:pageBreakBefore w:val="0"/>
        <w:kinsoku/>
        <w:wordWrap/>
        <w:overflowPunct/>
        <w:topLinePunct w:val="0"/>
        <w:bidi w:val="0"/>
        <w:spacing w:line="576" w:lineRule="exact"/>
        <w:ind w:left="63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2.部门绩效评价结果。</w:t>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本部门按要求对</w:t>
      </w:r>
      <w:r>
        <w:rPr>
          <w:rFonts w:hint="eastAsia" w:ascii="仿宋_GB2312" w:hAnsi="仿宋_GB2312" w:eastAsia="仿宋_GB2312" w:cs="仿宋_GB2312"/>
          <w:b/>
          <w:bCs/>
          <w:sz w:val="32"/>
          <w:szCs w:val="32"/>
          <w:lang w:val="en-US" w:eastAsia="zh-CN"/>
        </w:rPr>
        <w:t>2020</w:t>
      </w:r>
      <w:r>
        <w:rPr>
          <w:rFonts w:hint="eastAsia" w:ascii="仿宋_GB2312" w:hAnsi="仿宋_GB2312" w:eastAsia="仿宋_GB2312" w:cs="仿宋_GB2312"/>
          <w:b/>
          <w:bCs/>
          <w:sz w:val="32"/>
          <w:szCs w:val="32"/>
        </w:rPr>
        <w:t>年部门整体支出绩效评价情况开展自评，《</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部门20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年部门整体支出绩效评价报告》见附件（附件1）。</w:t>
      </w:r>
    </w:p>
    <w:p>
      <w:pPr>
        <w:pageBreakBefore w:val="0"/>
        <w:kinsoku/>
        <w:wordWrap/>
        <w:overflowPunct/>
        <w:topLinePunct w:val="0"/>
        <w:bidi w:val="0"/>
        <w:spacing w:line="576" w:lineRule="exact"/>
        <w:ind w:firstLine="642" w:firstLineChars="200"/>
        <w:rPr>
          <w:rFonts w:ascii="仿宋_GB2312" w:eastAsia="仿宋_GB2312"/>
          <w:b/>
          <w:bCs/>
          <w:color w:val="FF0000"/>
          <w:sz w:val="32"/>
          <w:szCs w:val="32"/>
        </w:rPr>
      </w:pPr>
      <w:r>
        <w:rPr>
          <w:rFonts w:hint="eastAsia" w:ascii="仿宋_GB2312" w:hAnsi="仿宋_GB2312" w:eastAsia="仿宋_GB2312" w:cs="仿宋_GB2312"/>
          <w:b/>
          <w:bCs/>
          <w:sz w:val="32"/>
          <w:szCs w:val="32"/>
        </w:rPr>
        <w:t>本部门自行组织对项目开展了绩效评价，《</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项目20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年绩效评价报告》见附件（附件2）。</w:t>
      </w:r>
    </w:p>
    <w:p>
      <w:pPr>
        <w:pageBreakBefore w:val="0"/>
        <w:widowControl/>
        <w:kinsoku/>
        <w:wordWrap/>
        <w:overflowPunct/>
        <w:topLinePunct w:val="0"/>
        <w:bidi w:val="0"/>
        <w:spacing w:line="576" w:lineRule="exact"/>
        <w:jc w:val="left"/>
        <w:rPr>
          <w:rFonts w:ascii="仿宋_GB2312" w:eastAsia="仿宋_GB2312"/>
          <w:b/>
          <w:bCs/>
          <w:color w:val="FF0000"/>
          <w:sz w:val="32"/>
          <w:szCs w:val="32"/>
        </w:rPr>
      </w:pPr>
      <w:r>
        <w:rPr>
          <w:rFonts w:ascii="仿宋_GB2312" w:eastAsia="仿宋_GB2312"/>
          <w:b/>
          <w:bCs/>
          <w:color w:val="FF0000"/>
          <w:sz w:val="32"/>
          <w:szCs w:val="32"/>
        </w:rPr>
        <w:br w:type="page"/>
      </w:r>
    </w:p>
    <w:p>
      <w:pPr>
        <w:pageBreakBefore w:val="0"/>
        <w:numPr>
          <w:ilvl w:val="0"/>
          <w:numId w:val="3"/>
        </w:numPr>
        <w:kinsoku/>
        <w:wordWrap/>
        <w:overflowPunct/>
        <w:topLinePunct w:val="0"/>
        <w:bidi w:val="0"/>
        <w:spacing w:line="576" w:lineRule="exact"/>
        <w:ind w:firstLine="662" w:firstLineChars="150"/>
        <w:jc w:val="center"/>
        <w:outlineLvl w:val="0"/>
        <w:rPr>
          <w:rStyle w:val="25"/>
          <w:rFonts w:ascii="黑体" w:hAnsi="黑体" w:eastAsia="黑体"/>
          <w:b/>
          <w:bCs/>
        </w:rPr>
      </w:pPr>
      <w:bookmarkStart w:id="59" w:name="_Toc15396613"/>
      <w:bookmarkStart w:id="60" w:name="_Toc15377225"/>
      <w:r>
        <w:rPr>
          <w:rFonts w:hint="eastAsia" w:ascii="黑体" w:hAnsi="黑体" w:eastAsia="黑体"/>
          <w:b/>
          <w:bCs/>
          <w:color w:val="000000"/>
          <w:sz w:val="44"/>
          <w:szCs w:val="44"/>
        </w:rPr>
        <w:t>名</w:t>
      </w:r>
      <w:r>
        <w:rPr>
          <w:rStyle w:val="25"/>
          <w:rFonts w:hint="eastAsia" w:ascii="黑体" w:hAnsi="黑体" w:eastAsia="黑体"/>
          <w:b/>
          <w:bCs/>
        </w:rPr>
        <w:t>词解释</w:t>
      </w:r>
      <w:bookmarkEnd w:id="59"/>
      <w:bookmarkEnd w:id="60"/>
    </w:p>
    <w:p>
      <w:pPr>
        <w:pageBreakBefore w:val="0"/>
        <w:kinsoku/>
        <w:wordWrap/>
        <w:overflowPunct/>
        <w:topLinePunct w:val="0"/>
        <w:bidi w:val="0"/>
        <w:spacing w:line="576" w:lineRule="exact"/>
        <w:jc w:val="left"/>
        <w:rPr>
          <w:rFonts w:ascii="宋体"/>
          <w:b/>
          <w:bCs/>
          <w:color w:val="000000"/>
          <w:sz w:val="44"/>
          <w:szCs w:val="44"/>
        </w:rPr>
      </w:pP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1.财政拨款收入：指单位从同级财政部门取得的财政预算资金。</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2.事业收入：指事业单位开展专业业务活动及辅助活动取得的收入。</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3.年初结转和结余：指以前年度尚未完成、结转到本年按有关规定继续使用的资金。</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4.结余分配：指事业单位按照事业单位会计制度的规定从非财政补助结余中分配的事业基金和职工福利基金等。</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5、年末结转和结余：指单位按有关规定结转到下年或以后年度继续使用的资金。</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6.一般公共服务（类）政府办公厅及相关机构事务（款）信访事务（项）指用于接待群众来信来访方面的支出。</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7.一般公共服务（类）政府办公厅及相关机构事务（款）专项服务（项）指其他有关生活服务管理支出。</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8.社会保障和就业（类）行政单位离退休（款）机关事业单位基本养老保险支出（项）指机关事业单位缴纳的基本养老保险支出。</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9.医疗卫生与计划生育（类）行政事业单位医疗（款）行政单位医疗（项</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指行政单位基本医疗保险缴费。</w:t>
      </w:r>
    </w:p>
    <w:p>
      <w:pPr>
        <w:pageBreakBefore w:val="0"/>
        <w:kinsoku/>
        <w:wordWrap/>
        <w:overflowPunct/>
        <w:topLinePunct w:val="0"/>
        <w:bidi w:val="0"/>
        <w:spacing w:line="576" w:lineRule="exact"/>
        <w:ind w:firstLine="642" w:firstLineChars="20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10.住房保障（类</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住房改革支出（款）住房公积金（项）指行政事业单位按基本工资和津贴补贴的规定比例缴纳的住房公积金。</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11.基本支出：指为保障机构正常运转、完成日常工作任务而发生的人员支出和公用支出。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12.项目支出：指在基本支出之外为完成特定行政任务和事业发展目标所发生的支出。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13.经营支出：指事业单位在专业业务活动及其辅助活动之外开展非独立核算经营活动发生的支出。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jc w:val="center"/>
        <w:outlineLvl w:val="0"/>
        <w:rPr>
          <w:rStyle w:val="25"/>
          <w:rFonts w:ascii="黑体" w:hAnsi="黑体" w:eastAsia="黑体"/>
          <w:b/>
          <w:bCs/>
        </w:rPr>
      </w:pPr>
      <w:bookmarkStart w:id="61" w:name="_Toc15377226"/>
      <w:r>
        <w:rPr>
          <w:rFonts w:ascii="宋体"/>
          <w:b/>
          <w:bCs/>
          <w:color w:val="000000"/>
          <w:sz w:val="44"/>
          <w:szCs w:val="44"/>
        </w:rPr>
        <w:br w:type="page"/>
      </w:r>
      <w:bookmarkStart w:id="62" w:name="_Toc15396614"/>
      <w:r>
        <w:rPr>
          <w:rFonts w:hint="eastAsia" w:ascii="黑体" w:hAnsi="黑体" w:eastAsia="黑体"/>
          <w:b/>
          <w:bCs/>
          <w:color w:val="000000"/>
          <w:sz w:val="44"/>
          <w:szCs w:val="44"/>
        </w:rPr>
        <w:t>第</w:t>
      </w:r>
      <w:r>
        <w:rPr>
          <w:rStyle w:val="25"/>
          <w:rFonts w:hint="eastAsia" w:ascii="黑体" w:hAnsi="黑体" w:eastAsia="黑体"/>
          <w:b/>
          <w:bCs/>
        </w:rPr>
        <w:t>四部分 附件</w:t>
      </w:r>
      <w:bookmarkEnd w:id="62"/>
    </w:p>
    <w:p>
      <w:pPr>
        <w:pageBreakBefore w:val="0"/>
        <w:kinsoku/>
        <w:wordWrap/>
        <w:overflowPunct/>
        <w:topLinePunct w:val="0"/>
        <w:bidi w:val="0"/>
        <w:spacing w:line="576" w:lineRule="exact"/>
        <w:jc w:val="left"/>
        <w:outlineLvl w:val="0"/>
        <w:rPr>
          <w:rFonts w:ascii="方正小标宋简体" w:hAnsi="方正小标宋简体" w:eastAsia="方正小标宋简体" w:cs="方正小标宋简体"/>
          <w:b/>
          <w:bCs/>
          <w:sz w:val="32"/>
          <w:szCs w:val="32"/>
        </w:rPr>
      </w:pPr>
      <w:r>
        <w:rPr>
          <w:rFonts w:hint="eastAsia" w:ascii="黑体" w:hAnsi="黑体" w:eastAsia="黑体" w:cs="黑体"/>
          <w:b/>
          <w:bCs/>
          <w:sz w:val="32"/>
          <w:szCs w:val="32"/>
        </w:rPr>
        <w:t>附件1</w:t>
      </w:r>
    </w:p>
    <w:p>
      <w:pPr>
        <w:pageBreakBefore w:val="0"/>
        <w:kinsoku/>
        <w:wordWrap/>
        <w:overflowPunct/>
        <w:topLinePunct w:val="0"/>
        <w:bidi w:val="0"/>
        <w:spacing w:line="576" w:lineRule="exact"/>
        <w:jc w:val="center"/>
        <w:rPr>
          <w:rFonts w:ascii="方正小标宋简体" w:hAnsi="方正小标宋简体" w:eastAsia="方正小标宋简体" w:cs="方正小标宋简体"/>
          <w:b/>
          <w:bCs/>
          <w:sz w:val="44"/>
          <w:szCs w:val="44"/>
        </w:rPr>
      </w:pPr>
    </w:p>
    <w:p>
      <w:pPr>
        <w:pageBreakBefore w:val="0"/>
        <w:kinsoku/>
        <w:wordWrap/>
        <w:overflowPunct/>
        <w:topLinePunct w:val="0"/>
        <w:bidi w:val="0"/>
        <w:spacing w:line="576" w:lineRule="exact"/>
        <w:ind w:left="1200" w:hanging="1204" w:hangingChars="300"/>
        <w:jc w:val="center"/>
        <w:rPr>
          <w:rFonts w:ascii="方正小标宋简体" w:hAnsi="宋体" w:eastAsia="方正小标宋简体"/>
          <w:b/>
          <w:bCs/>
          <w:color w:val="000000"/>
          <w:kern w:val="0"/>
          <w:sz w:val="40"/>
          <w:szCs w:val="44"/>
          <w:lang w:val="zh-CN"/>
        </w:rPr>
      </w:pPr>
      <w:r>
        <w:rPr>
          <w:rFonts w:hint="eastAsia" w:ascii="方正小标宋简体" w:hAnsi="宋体" w:eastAsia="方正小标宋简体"/>
          <w:b/>
          <w:bCs/>
          <w:color w:val="000000"/>
          <w:kern w:val="0"/>
          <w:sz w:val="40"/>
          <w:szCs w:val="44"/>
          <w:lang w:val="en-US" w:eastAsia="zh-CN"/>
        </w:rPr>
        <w:t xml:space="preserve">   </w:t>
      </w:r>
      <w:r>
        <w:rPr>
          <w:rFonts w:hint="eastAsia" w:ascii="方正小标宋简体" w:hAnsi="宋体" w:eastAsia="方正小标宋简体"/>
          <w:b/>
          <w:bCs/>
          <w:color w:val="000000"/>
          <w:kern w:val="0"/>
          <w:sz w:val="40"/>
          <w:szCs w:val="44"/>
          <w:lang w:eastAsia="zh-CN"/>
        </w:rPr>
        <w:t>中共广元市委群众工作局</w:t>
      </w:r>
      <w:r>
        <w:rPr>
          <w:rFonts w:hint="eastAsia" w:ascii="方正小标宋简体" w:hAnsi="宋体" w:eastAsia="方正小标宋简体"/>
          <w:b/>
          <w:bCs/>
          <w:color w:val="000000"/>
          <w:kern w:val="0"/>
          <w:sz w:val="40"/>
          <w:szCs w:val="44"/>
          <w:lang w:val="en-US" w:eastAsia="zh-CN"/>
        </w:rPr>
        <w:t xml:space="preserve">                </w:t>
      </w:r>
      <w:r>
        <w:rPr>
          <w:rFonts w:ascii="方正小标宋简体" w:hAnsi="宋体" w:eastAsia="方正小标宋简体"/>
          <w:b/>
          <w:bCs/>
          <w:color w:val="000000"/>
          <w:kern w:val="0"/>
          <w:sz w:val="40"/>
          <w:szCs w:val="44"/>
        </w:rPr>
        <w:t>20</w:t>
      </w:r>
      <w:r>
        <w:rPr>
          <w:rFonts w:hint="eastAsia" w:ascii="方正小标宋简体" w:hAnsi="宋体" w:eastAsia="方正小标宋简体"/>
          <w:b/>
          <w:bCs/>
          <w:color w:val="000000"/>
          <w:kern w:val="0"/>
          <w:sz w:val="40"/>
          <w:szCs w:val="44"/>
          <w:lang w:val="en-US" w:eastAsia="zh-CN"/>
        </w:rPr>
        <w:t>20</w:t>
      </w:r>
      <w:r>
        <w:rPr>
          <w:rFonts w:ascii="方正小标宋简体" w:hAnsi="宋体" w:eastAsia="方正小标宋简体"/>
          <w:b/>
          <w:bCs/>
          <w:color w:val="000000"/>
          <w:kern w:val="0"/>
          <w:sz w:val="40"/>
          <w:szCs w:val="44"/>
        </w:rPr>
        <w:t>年部门</w:t>
      </w:r>
      <w:r>
        <w:rPr>
          <w:rFonts w:hint="eastAsia" w:ascii="方正小标宋简体" w:hAnsi="宋体" w:eastAsia="方正小标宋简体"/>
          <w:b/>
          <w:bCs/>
          <w:color w:val="000000"/>
          <w:kern w:val="0"/>
          <w:sz w:val="40"/>
          <w:szCs w:val="44"/>
          <w:lang w:val="zh-CN"/>
        </w:rPr>
        <w:t>整体支出绩效评价报告</w:t>
      </w:r>
    </w:p>
    <w:p>
      <w:pPr>
        <w:pageBreakBefore w:val="0"/>
        <w:widowControl/>
        <w:kinsoku/>
        <w:wordWrap/>
        <w:overflowPunct/>
        <w:topLinePunct w:val="0"/>
        <w:bidi w:val="0"/>
        <w:spacing w:line="576" w:lineRule="exact"/>
        <w:ind w:firstLine="642" w:firstLineChars="200"/>
        <w:contextualSpacing/>
        <w:jc w:val="center"/>
        <w:rPr>
          <w:rFonts w:ascii="仿宋_GB2312" w:hAnsi="宋体" w:eastAsia="仿宋_GB2312"/>
          <w:b/>
          <w:bCs/>
          <w:sz w:val="32"/>
          <w:szCs w:val="32"/>
          <w:shd w:val="clear" w:color="auto" w:fill="FFFFFF"/>
        </w:rPr>
      </w:pPr>
      <w:r>
        <w:rPr>
          <w:rFonts w:hint="eastAsia" w:ascii="仿宋_GB2312" w:hAnsi="宋体" w:eastAsia="仿宋_GB2312"/>
          <w:b/>
          <w:bCs/>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576" w:lineRule="exact"/>
        <w:ind w:firstLine="481" w:firstLineChars="200"/>
        <w:contextualSpacing/>
        <w:jc w:val="left"/>
        <w:rPr>
          <w:rFonts w:ascii="黑体" w:hAnsi="宋体" w:eastAsia="黑体" w:cs="宋体"/>
          <w:b/>
          <w:bCs/>
          <w:color w:val="000000"/>
          <w:kern w:val="0"/>
          <w:sz w:val="24"/>
          <w:szCs w:val="32"/>
          <w:shd w:val="clear" w:color="auto" w:fill="FFFFFF"/>
        </w:rPr>
      </w:pP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lang w:val="zh-CN"/>
        </w:rPr>
      </w:pPr>
      <w:r>
        <w:rPr>
          <w:rFonts w:hint="eastAsia" w:ascii="黑体" w:hAnsi="宋体" w:eastAsia="黑体" w:cs="宋体"/>
          <w:b/>
          <w:bCs/>
          <w:color w:val="000000"/>
          <w:kern w:val="0"/>
          <w:sz w:val="32"/>
          <w:szCs w:val="32"/>
          <w:shd w:val="clear" w:color="auto" w:fill="FFFFFF"/>
        </w:rPr>
        <w:t>一、</w:t>
      </w:r>
      <w:r>
        <w:rPr>
          <w:rFonts w:hint="eastAsia" w:ascii="黑体" w:hAnsi="宋体" w:eastAsia="黑体" w:cs="宋体"/>
          <w:b/>
          <w:bCs/>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（一）机构组成。</w:t>
      </w:r>
      <w:r>
        <w:rPr>
          <w:rStyle w:val="26"/>
          <w:rFonts w:hint="eastAsia" w:ascii="仿宋_GB2312" w:hAnsi="仿宋_GB2312" w:eastAsia="仿宋_GB2312" w:cs="仿宋_GB2312"/>
          <w:b/>
          <w:bCs/>
          <w:lang w:val="en-US" w:eastAsia="zh-CN" w:bidi="ar-SA"/>
        </w:rPr>
        <w:t>群工局设办公室、接访科、社情民意科、办信科、督办科五个科室。下属事业单位一个。</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（二）机构职能。</w:t>
      </w:r>
      <w:r>
        <w:rPr>
          <w:rStyle w:val="26"/>
          <w:rFonts w:hint="eastAsia" w:ascii="仿宋_GB2312" w:hAnsi="仿宋_GB2312" w:eastAsia="仿宋_GB2312" w:cs="仿宋_GB2312"/>
          <w:b/>
          <w:bCs/>
          <w:lang w:val="en-US" w:eastAsia="zh-CN" w:bidi="ar-SA"/>
        </w:rPr>
        <w:t>负责处理市内外群众给市委、市政府的来信，接待群众来访，负责群众和信访案件的复查复核工作，协调处置赴京、到省非正常上访工作，负责处理市信访工作联席会议，承办省信访局、市委市政府领导交办的其他事项。</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（三）人员概况。</w:t>
      </w:r>
      <w:r>
        <w:rPr>
          <w:rStyle w:val="26"/>
          <w:rFonts w:hint="eastAsia" w:ascii="仿宋_GB2312" w:hAnsi="仿宋_GB2312" w:eastAsia="仿宋_GB2312" w:cs="仿宋_GB2312"/>
          <w:b/>
          <w:bCs/>
          <w:lang w:val="en-US" w:eastAsia="zh-CN" w:bidi="ar-SA"/>
        </w:rPr>
        <w:t>广元市委群众工作局为市委工作部门，局机关核定行政编制15名，工勤编制2名，领导班子1正3副，副调员1名，现有在职干部13名，其中行政人员12名，工勤人员1名。下属事业单位核定编制12名，实有人数6名。</w:t>
      </w: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（一）部门财政资金收入情况。</w:t>
      </w:r>
      <w:r>
        <w:rPr>
          <w:rStyle w:val="26"/>
          <w:rFonts w:hint="eastAsia" w:ascii="仿宋_GB2312" w:hAnsi="仿宋_GB2312" w:eastAsia="仿宋_GB2312" w:cs="仿宋_GB2312"/>
          <w:b/>
          <w:bCs/>
          <w:lang w:val="en-US" w:eastAsia="zh-CN" w:bidi="ar-SA"/>
        </w:rPr>
        <w:t>2020年财政拨款收入402.28万元，一般公共服务支出收入340.14万元，社会保障和就业支出收入27.02元，卫生健康支出收入11.43万元，住房保障支出收入23.69万元。</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（二）部门财政资金支出情况。2020</w:t>
      </w:r>
      <w:r>
        <w:rPr>
          <w:rStyle w:val="26"/>
          <w:rFonts w:hint="eastAsia" w:ascii="仿宋_GB2312" w:hAnsi="仿宋_GB2312" w:eastAsia="仿宋_GB2312" w:cs="仿宋_GB2312"/>
          <w:b/>
          <w:bCs/>
          <w:lang w:val="en-US" w:eastAsia="zh-CN" w:bidi="ar-SA"/>
        </w:rPr>
        <w:t>年总支出为520.68万元，其中基本支出454.47万元。项目支出66.21万元。</w:t>
      </w: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pageBreakBefore w:val="0"/>
        <w:kinsoku/>
        <w:wordWrap/>
        <w:overflowPunct/>
        <w:topLinePunct w:val="0"/>
        <w:bidi w:val="0"/>
        <w:spacing w:line="576" w:lineRule="exact"/>
        <w:ind w:firstLine="642" w:firstLineChars="200"/>
        <w:rPr>
          <w:rStyle w:val="26"/>
          <w:rFonts w:hint="eastAsia"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1、预算编制情况。严格按照预算管理的相关规定和水机部门预算编制要求，预算管理遵循依据充分、程序规范、项目细化、勤俭节约、讲求绩效、收支平衡的原则，按期完成年度预算编报工作。部门绩效目标指向明确、细化量化、合理可行，与本部门职责和年度工作重点相符。年度绩效目标均已实现，与预期相符。</w:t>
      </w:r>
    </w:p>
    <w:p>
      <w:pPr>
        <w:pStyle w:val="2"/>
        <w:pageBreakBefore w:val="0"/>
        <w:kinsoku/>
        <w:wordWrap/>
        <w:overflowPunct/>
        <w:topLinePunct w:val="0"/>
        <w:bidi w:val="0"/>
        <w:spacing w:line="576" w:lineRule="exact"/>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 xml:space="preserve">    2、预算执行。依据批复的预算及设定的目标，对预算资金执行进度、绩效目标实现程度和预算项目实施进程等进行跟踪管理，确保了预算执行进度和资金管理效益。</w:t>
      </w:r>
    </w:p>
    <w:p>
      <w:pPr>
        <w:pStyle w:val="2"/>
        <w:pageBreakBefore w:val="0"/>
        <w:kinsoku/>
        <w:wordWrap/>
        <w:overflowPunct/>
        <w:topLinePunct w:val="0"/>
        <w:bidi w:val="0"/>
        <w:spacing w:line="576" w:lineRule="exact"/>
        <w:ind w:firstLine="642" w:firstLineChars="200"/>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3、完成结果。市委群工局20</w:t>
      </w:r>
      <w:r>
        <w:rPr>
          <w:rStyle w:val="26"/>
          <w:rFonts w:hint="eastAsia" w:hAnsi="仿宋_GB2312" w:cs="仿宋_GB2312"/>
          <w:b/>
          <w:bCs/>
          <w:lang w:val="en-US" w:eastAsia="zh-CN" w:bidi="ar-SA"/>
        </w:rPr>
        <w:t>20</w:t>
      </w:r>
      <w:r>
        <w:rPr>
          <w:rStyle w:val="26"/>
          <w:rFonts w:hint="eastAsia" w:ascii="仿宋_GB2312" w:hAnsi="仿宋_GB2312" w:eastAsia="仿宋_GB2312" w:cs="仿宋_GB2312"/>
          <w:b/>
          <w:bCs/>
          <w:lang w:val="en-US" w:eastAsia="zh-CN" w:bidi="ar-SA"/>
        </w:rPr>
        <w:t>年度预算执行率为</w:t>
      </w:r>
      <w:r>
        <w:rPr>
          <w:rStyle w:val="26"/>
          <w:rFonts w:hint="eastAsia" w:hAnsi="仿宋_GB2312" w:cs="仿宋_GB2312"/>
          <w:b/>
          <w:bCs/>
          <w:lang w:val="en-US" w:eastAsia="zh-CN" w:bidi="ar-SA"/>
        </w:rPr>
        <w:t>99.08</w:t>
      </w:r>
      <w:r>
        <w:rPr>
          <w:rStyle w:val="26"/>
          <w:rFonts w:hint="eastAsia" w:ascii="仿宋_GB2312" w:hAnsi="仿宋_GB2312" w:eastAsia="仿宋_GB2312" w:cs="仿宋_GB2312"/>
          <w:b/>
          <w:bCs/>
          <w:lang w:val="en-US" w:eastAsia="zh-CN" w:bidi="ar-SA"/>
        </w:rPr>
        <w:t>%，预算经费在保障机关有序运行方面发挥了重要作用，全年未发生违规行为。</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default" w:ascii="仿宋_GB2312" w:hAnsi="仿宋_GB2312" w:eastAsia="仿宋_GB2312" w:cs="仿宋_GB2312"/>
          <w:b/>
          <w:bCs/>
          <w:lang w:val="en-US" w:eastAsia="zh-CN" w:bidi="ar-SA"/>
        </w:rPr>
      </w:pPr>
      <w:r>
        <w:rPr>
          <w:rFonts w:hint="eastAsia" w:ascii="楷体_GB2312" w:hAnsi="宋体" w:eastAsia="楷体_GB2312" w:cs="Times New Roman"/>
          <w:b/>
          <w:bCs/>
          <w:sz w:val="32"/>
          <w:szCs w:val="32"/>
          <w:lang w:val="zh-CN"/>
        </w:rPr>
        <w:t>（二）结果应用情况。</w:t>
      </w:r>
      <w:r>
        <w:rPr>
          <w:rStyle w:val="26"/>
          <w:rFonts w:hint="eastAsia" w:ascii="仿宋_GB2312" w:hAnsi="仿宋_GB2312" w:eastAsia="仿宋_GB2312" w:cs="仿宋_GB2312"/>
          <w:b/>
          <w:bCs/>
          <w:lang w:val="en-US" w:eastAsia="zh-CN" w:bidi="ar-SA"/>
        </w:rPr>
        <w:t>2020年市委群工局在预算编制、报送及时合规，机关节能降效明显，重要信息按要求公开，市政府绩效管理考核结果良好，预算经费在保障机关有序运行等方面发挥了重要作用。</w:t>
      </w: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default" w:ascii="仿宋_GB2312" w:hAnsi="宋体" w:eastAsia="仿宋_GB2312" w:cs="宋体"/>
          <w:b/>
          <w:bCs/>
          <w:color w:val="000000"/>
          <w:kern w:val="0"/>
          <w:sz w:val="32"/>
          <w:szCs w:val="32"/>
          <w:shd w:val="clear" w:color="auto" w:fill="FFFFFF"/>
          <w:lang w:val="en-US" w:eastAsia="zh-CN" w:bidi="ar-SA"/>
        </w:rPr>
      </w:pPr>
      <w:r>
        <w:rPr>
          <w:rFonts w:hint="eastAsia" w:ascii="楷体_GB2312" w:hAnsi="宋体" w:eastAsia="楷体_GB2312" w:cs="Times New Roman"/>
          <w:b/>
          <w:bCs/>
          <w:sz w:val="32"/>
          <w:szCs w:val="32"/>
          <w:lang w:val="zh-CN"/>
        </w:rPr>
        <w:t>（一）评价结论</w:t>
      </w:r>
      <w:r>
        <w:rPr>
          <w:rFonts w:hint="eastAsia" w:ascii="楷体_GB2312" w:hAnsi="宋体" w:eastAsia="楷体_GB2312" w:cs="Times New Roman"/>
          <w:b/>
          <w:bCs/>
          <w:sz w:val="32"/>
          <w:szCs w:val="32"/>
          <w:lang w:val="zh-CN" w:eastAsia="zh-CN"/>
        </w:rPr>
        <w:t>。</w:t>
      </w:r>
      <w:r>
        <w:rPr>
          <w:rFonts w:hint="eastAsia" w:ascii="仿宋_GB2312" w:hAnsi="宋体" w:eastAsia="仿宋_GB2312" w:cs="宋体"/>
          <w:b/>
          <w:bCs/>
          <w:color w:val="000000"/>
          <w:kern w:val="0"/>
          <w:sz w:val="32"/>
          <w:szCs w:val="32"/>
          <w:shd w:val="clear" w:color="auto" w:fill="FFFFFF"/>
          <w:lang w:val="en-US" w:eastAsia="zh-CN" w:bidi="ar-SA"/>
        </w:rPr>
        <w:t>2020年，我局经费保障能力不断提高，经费使用效果科学合理，财务管理规范有序，全面保障和促进了我局依法履职。</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仿宋_GB2312" w:hAnsi="宋体" w:eastAsia="仿宋_GB2312" w:cs="宋体"/>
          <w:b/>
          <w:bCs/>
          <w:color w:val="000000"/>
          <w:kern w:val="0"/>
          <w:sz w:val="32"/>
          <w:szCs w:val="32"/>
          <w:shd w:val="clear" w:color="auto" w:fill="FFFFFF"/>
          <w:lang w:val="zh-CN" w:eastAsia="zh-CN" w:bidi="ar-SA"/>
        </w:rPr>
      </w:pPr>
      <w:r>
        <w:rPr>
          <w:rFonts w:hint="eastAsia" w:ascii="楷体_GB2312" w:hAnsi="宋体" w:eastAsia="楷体_GB2312" w:cs="Times New Roman"/>
          <w:b/>
          <w:bCs/>
          <w:sz w:val="32"/>
          <w:szCs w:val="32"/>
          <w:lang w:val="zh-CN"/>
        </w:rPr>
        <w:t>（二）存在问题。</w:t>
      </w:r>
      <w:r>
        <w:rPr>
          <w:rFonts w:hint="eastAsia" w:ascii="仿宋_GB2312" w:hAnsi="宋体" w:eastAsia="仿宋_GB2312" w:cs="宋体"/>
          <w:b/>
          <w:bCs/>
          <w:color w:val="000000"/>
          <w:kern w:val="0"/>
          <w:sz w:val="32"/>
          <w:szCs w:val="32"/>
          <w:shd w:val="clear" w:color="auto" w:fill="FFFFFF"/>
          <w:lang w:val="zh-CN" w:eastAsia="zh-CN" w:bidi="ar-SA"/>
        </w:rPr>
        <w:t>部分经费及未能在当年实施完毕，形成年末结转和结余。</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仿宋_GB2312" w:hAnsi="宋体" w:eastAsia="仿宋_GB2312" w:cs="宋体"/>
          <w:b/>
          <w:bCs/>
          <w:kern w:val="0"/>
          <w:sz w:val="32"/>
          <w:szCs w:val="32"/>
          <w:lang w:val="en-US" w:eastAsia="zh-CN"/>
        </w:rPr>
      </w:pPr>
      <w:r>
        <w:rPr>
          <w:rFonts w:hint="eastAsia" w:ascii="楷体_GB2312" w:hAnsi="宋体" w:eastAsia="楷体_GB2312" w:cs="Times New Roman"/>
          <w:b/>
          <w:bCs/>
          <w:sz w:val="32"/>
          <w:szCs w:val="32"/>
          <w:lang w:val="zh-CN"/>
        </w:rPr>
        <w:t>（三）改进建议。</w:t>
      </w:r>
      <w:r>
        <w:rPr>
          <w:rFonts w:hint="eastAsia" w:ascii="仿宋_GB2312" w:hAnsi="Times New Roman" w:eastAsia="仿宋_GB2312" w:cs="Times New Roman"/>
          <w:b/>
          <w:bCs/>
          <w:kern w:val="0"/>
          <w:sz w:val="30"/>
          <w:szCs w:val="24"/>
          <w:lang w:val="en-US" w:eastAsia="zh-CN" w:bidi="ar-SA"/>
        </w:rPr>
        <w:t>一是按期按时执行预算，建立科学的执行进度；二是制定和完善基本支出、项目支出等各项支出标准。三是切实提高部门预算收支管理水平，尽可能地做到决算与预算相衔接。</w:t>
      </w:r>
    </w:p>
    <w:p>
      <w:pPr>
        <w:pStyle w:val="2"/>
        <w:pageBreakBefore w:val="0"/>
        <w:numPr>
          <w:ilvl w:val="0"/>
          <w:numId w:val="0"/>
        </w:numPr>
        <w:kinsoku/>
        <w:wordWrap/>
        <w:overflowPunct/>
        <w:topLinePunct w:val="0"/>
        <w:bidi w:val="0"/>
        <w:spacing w:line="576" w:lineRule="exact"/>
        <w:rPr>
          <w:rFonts w:hint="default" w:eastAsia="仿宋_GB2312"/>
          <w:b/>
          <w:bCs/>
          <w:lang w:val="en-US" w:eastAsia="zh-CN"/>
        </w:rPr>
      </w:pP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r>
        <w:rPr>
          <w:rFonts w:hint="eastAsia" w:ascii="黑体" w:hAnsi="黑体" w:eastAsia="黑体" w:cs="黑体"/>
          <w:b/>
          <w:bCs/>
          <w:sz w:val="32"/>
          <w:szCs w:val="32"/>
        </w:rPr>
        <w:br w:type="textWrapping"/>
      </w:r>
    </w:p>
    <w:p>
      <w:pPr>
        <w:pageBreakBefore w:val="0"/>
        <w:kinsoku/>
        <w:wordWrap/>
        <w:overflowPunct/>
        <w:topLinePunct w:val="0"/>
        <w:bidi w:val="0"/>
        <w:spacing w:line="576" w:lineRule="exact"/>
        <w:rPr>
          <w:rFonts w:ascii="仿宋_GB2312" w:hAnsi="仿宋_GB2312" w:eastAsia="仿宋_GB2312" w:cs="仿宋_GB2312"/>
          <w:b/>
          <w:bCs/>
          <w:sz w:val="32"/>
          <w:szCs w:val="32"/>
        </w:rPr>
      </w:pPr>
      <w:r>
        <w:rPr>
          <w:rFonts w:hint="eastAsia" w:ascii="黑体" w:hAnsi="黑体" w:eastAsia="黑体" w:cs="黑体"/>
          <w:b/>
          <w:bCs/>
          <w:sz w:val="32"/>
          <w:szCs w:val="32"/>
        </w:rPr>
        <w:t>附件2</w:t>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信访远程视频服务</w:t>
      </w:r>
      <w:r>
        <w:rPr>
          <w:rFonts w:hint="eastAsia" w:ascii="方正小标宋简体" w:hAnsi="宋体" w:eastAsia="方正小标宋简体"/>
          <w:b/>
          <w:bCs/>
          <w:color w:val="000000"/>
          <w:kern w:val="0"/>
          <w:sz w:val="44"/>
          <w:szCs w:val="44"/>
          <w:lang w:val="zh-CN"/>
        </w:rPr>
        <w:t>项目</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绩效评价报告</w:t>
      </w:r>
    </w:p>
    <w:p>
      <w:pPr>
        <w:pageBreakBefore w:val="0"/>
        <w:kinsoku/>
        <w:wordWrap/>
        <w:overflowPunct/>
        <w:topLinePunct w:val="0"/>
        <w:bidi w:val="0"/>
        <w:adjustRightInd w:val="0"/>
        <w:snapToGrid w:val="0"/>
        <w:spacing w:line="576" w:lineRule="exact"/>
        <w:ind w:firstLine="720"/>
        <w:rPr>
          <w:rFonts w:hint="eastAsia" w:ascii="黑体" w:hAnsi="宋体" w:eastAsia="黑体"/>
          <w:b/>
          <w:bCs/>
          <w:sz w:val="32"/>
          <w:szCs w:val="32"/>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贯彻落实国家信访局《关于建设国家信访局视频信访系统有关事宜的通知》（国信发﹝2017﹞1号），推动四川省视频信访系统建设；联通国家、省、市、县机构，以及有权处理信访问题的职能部门，实现会议培训、接访会商、应急调度等工作应用。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2"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主要完成支付市本级及七个县区的信访视频系统使用费；确保远程视频接访工作顺利开展；确保“国家、省、市、县”四级视频会议、业务培训等链接畅通；对损坏设备进行维修、维护、更换；建设专线及VPN线路通道。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10.58万元，财政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10.58万元。</w:t>
      </w:r>
    </w:p>
    <w:p>
      <w:pPr>
        <w:pStyle w:val="2"/>
        <w:pageBreakBefore w:val="0"/>
        <w:numPr>
          <w:ilvl w:val="0"/>
          <w:numId w:val="0"/>
        </w:numPr>
        <w:kinsoku/>
        <w:wordWrap/>
        <w:overflowPunct/>
        <w:topLinePunct w:val="0"/>
        <w:bidi w:val="0"/>
        <w:spacing w:line="576" w:lineRule="exact"/>
        <w:ind w:firstLine="642"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10.58</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10.58</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10.58万元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2"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2" w:firstLineChars="20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（一）项目组织架构及实施流程。年初与移动公司签订服务协议，按季度拨款使用经费；移动公司提供线路（网络）、维护、技术指导等服务。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信访远程视频服务，</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（二）项目效益情况。一是参加国家、省视频会议</w:t>
      </w:r>
      <w:r>
        <w:rPr>
          <w:rFonts w:hint="eastAsia" w:ascii="楷体_GB2312" w:hAnsi="宋体" w:eastAsia="楷体_GB2312"/>
          <w:b/>
          <w:bCs/>
          <w:sz w:val="32"/>
          <w:szCs w:val="32"/>
          <w:lang w:val="en-US" w:eastAsia="zh-CN"/>
        </w:rPr>
        <w:t>21次；二是召开市、县业务培训、工作会议12次；三是市、县领导接待日，视频联合接访51次。通过信访远程视频服务的运用，国家、省、市、县实现四级联通，能有效的组织参加各类业务培训和会议；同时监督市、县两级领导落实领导按期接访的要求；信访群众也可以通过本级信访视频系统，连接上级部分和单位进行信访接待。</w:t>
      </w:r>
    </w:p>
    <w:p>
      <w:pPr>
        <w:pageBreakBefore w:val="0"/>
        <w:kinsoku/>
        <w:wordWrap/>
        <w:overflowPunct/>
        <w:topLinePunct w:val="0"/>
        <w:bidi w:val="0"/>
        <w:adjustRightInd w:val="0"/>
        <w:snapToGrid w:val="0"/>
        <w:spacing w:line="576" w:lineRule="exact"/>
        <w:ind w:firstLine="642"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w:t>
      </w:r>
    </w:p>
    <w:p>
      <w:pPr>
        <w:pStyle w:val="2"/>
        <w:ind w:firstLine="642" w:firstLineChars="200"/>
        <w:rPr>
          <w:lang w:val="zh-CN"/>
        </w:rPr>
      </w:pPr>
      <w:r>
        <w:rPr>
          <w:rFonts w:hint="eastAsia" w:ascii="楷体_GB2312" w:hAnsi="宋体" w:eastAsia="楷体_GB2312"/>
          <w:b/>
          <w:bCs/>
          <w:sz w:val="32"/>
          <w:szCs w:val="32"/>
          <w:lang w:val="zh-CN"/>
        </w:rPr>
        <w:t>信访远程视频服务的运用，有效的搭建了国家、省、市、县上进链接的平台，实现了全国信访业务统一培训。监督了市领导每季度一次，县领导每月一次开展信访接待的要求，同时本级信访群众在不出门的情况下就可预约上级信访部门同时视频接待，解决矛盾纠纷。</w:t>
      </w:r>
    </w:p>
    <w:p>
      <w:pPr>
        <w:pageBreakBefore w:val="0"/>
        <w:kinsoku/>
        <w:wordWrap/>
        <w:overflowPunct/>
        <w:topLinePunct w:val="0"/>
        <w:bidi w:val="0"/>
        <w:adjustRightInd w:val="0"/>
        <w:snapToGrid w:val="0"/>
        <w:spacing w:line="576" w:lineRule="exact"/>
        <w:ind w:firstLine="642" w:firstLineChars="20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一是系统的运用和发挥还能继续扩大；二是部门负责系统的人员计算性还不强；三是系统个别设施设备老化需要更新。</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ind w:firstLine="640"/>
        <w:rPr>
          <w:rFonts w:ascii="仿宋_GB2312" w:hAnsi="仿宋_GB2312" w:eastAsia="仿宋_GB2312" w:cs="仿宋_GB2312"/>
          <w:b/>
          <w:bCs/>
          <w:sz w:val="32"/>
          <w:szCs w:val="32"/>
        </w:rPr>
      </w:pPr>
    </w:p>
    <w:p>
      <w:pPr>
        <w:pageBreakBefore w:val="0"/>
        <w:widowControl/>
        <w:kinsoku/>
        <w:wordWrap/>
        <w:overflowPunct/>
        <w:topLinePunct w:val="0"/>
        <w:bidi w:val="0"/>
        <w:spacing w:line="576" w:lineRule="exact"/>
        <w:jc w:val="left"/>
        <w:rPr>
          <w:rStyle w:val="25"/>
          <w:rFonts w:ascii="黑体" w:hAnsi="黑体" w:eastAsia="黑体"/>
          <w:b/>
          <w:bCs/>
        </w:rPr>
      </w:pPr>
    </w:p>
    <w:p>
      <w:pPr>
        <w:pageBreakBefore w:val="0"/>
        <w:widowControl/>
        <w:kinsoku/>
        <w:wordWrap/>
        <w:overflowPunct/>
        <w:topLinePunct w:val="0"/>
        <w:bidi w:val="0"/>
        <w:spacing w:line="576" w:lineRule="exact"/>
        <w:jc w:val="left"/>
        <w:rPr>
          <w:rStyle w:val="25"/>
          <w:rFonts w:ascii="黑体" w:hAnsi="黑体" w:eastAsia="黑体"/>
          <w:b/>
          <w:bCs/>
        </w:rPr>
      </w:pPr>
      <w:r>
        <w:rPr>
          <w:rStyle w:val="25"/>
          <w:rFonts w:ascii="黑体" w:hAnsi="黑体" w:eastAsia="黑体"/>
          <w:b/>
          <w:bCs/>
        </w:rPr>
        <w:br w:type="page"/>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信访维稳信息费</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根据川委厅﹝2020﹞</w:t>
      </w:r>
      <w:r>
        <w:rPr>
          <w:rFonts w:hint="eastAsia" w:ascii="仿宋_GB2312" w:hAnsi="宋体" w:eastAsia="仿宋_GB2312"/>
          <w:b/>
          <w:bCs/>
          <w:sz w:val="32"/>
          <w:szCs w:val="32"/>
          <w:lang w:val="en-US" w:eastAsia="zh-CN"/>
        </w:rPr>
        <w:t>48号、</w:t>
      </w:r>
      <w:r>
        <w:rPr>
          <w:rFonts w:hint="eastAsia" w:ascii="仿宋_GB2312" w:hAnsi="宋体" w:eastAsia="仿宋_GB2312"/>
          <w:b/>
          <w:bCs/>
          <w:sz w:val="32"/>
          <w:szCs w:val="32"/>
          <w:lang w:val="zh-CN" w:eastAsia="zh-CN"/>
        </w:rPr>
        <w:t>川委办﹝2014﹞28号、 广信联办﹝2017﹞23号 相关文件的要求，把来信、来访、网上投诉纳入网上流转，实现网上录入、管理、督查、绩效考评，实现网上信访实名制，由于支付网站平台的运行服务费用。</w:t>
      </w:r>
      <w:r>
        <w:rPr>
          <w:rFonts w:hint="eastAsia"/>
          <w:lang w:val="zh-CN" w:eastAsia="zh-CN"/>
        </w:rPr>
        <w:t xml:space="preserve"> </w:t>
      </w:r>
      <w:r>
        <w:rPr>
          <w:rFonts w:hint="eastAsia" w:ascii="仿宋_GB2312" w:hAnsi="宋体" w:eastAsia="仿宋_GB2312"/>
          <w:b/>
          <w:bCs/>
          <w:sz w:val="32"/>
          <w:szCs w:val="32"/>
          <w:lang w:val="zh-CN" w:eastAsia="zh-CN"/>
        </w:rPr>
        <w:t xml:space="preserve">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2"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通过项目实施，建立“信、访、 网、电”四位一体，以网上受理为主的诉求表达格局，把来信、来访、网上投诉等纳入网上流转；做好全国网上信访信息综合平台对接工作；开通信访信息系统全市信访办理过程中及时受理、按期办理、群众满意度评价等数据分析。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由各平台使用科室进行自评，局班子组织审评。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4.50万元，财政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4.50万元。</w:t>
      </w:r>
    </w:p>
    <w:p>
      <w:pPr>
        <w:pStyle w:val="2"/>
        <w:pageBreakBefore w:val="0"/>
        <w:numPr>
          <w:ilvl w:val="0"/>
          <w:numId w:val="0"/>
        </w:numPr>
        <w:kinsoku/>
        <w:wordWrap/>
        <w:overflowPunct/>
        <w:topLinePunct w:val="0"/>
        <w:bidi w:val="0"/>
        <w:spacing w:line="576" w:lineRule="exact"/>
        <w:ind w:firstLine="642"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2"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w:t>
      </w:r>
      <w:r>
        <w:rPr>
          <w:rFonts w:hint="eastAsia" w:ascii="仿宋_GB2312" w:eastAsia="仿宋_GB2312" w:cs="Times New Roman"/>
          <w:b/>
          <w:bCs/>
          <w:kern w:val="0"/>
          <w:sz w:val="30"/>
          <w:szCs w:val="24"/>
          <w:lang w:val="en-US" w:eastAsia="zh-CN" w:bidi="ar-SA"/>
        </w:rPr>
        <w:t>赋与</w:t>
      </w:r>
      <w:r>
        <w:rPr>
          <w:rFonts w:hint="eastAsia" w:ascii="仿宋_GB2312" w:hAnsi="Times New Roman" w:eastAsia="仿宋_GB2312" w:cs="Times New Roman"/>
          <w:b/>
          <w:bCs/>
          <w:kern w:val="0"/>
          <w:sz w:val="30"/>
          <w:szCs w:val="24"/>
          <w:lang w:val="en-US" w:eastAsia="zh-CN" w:bidi="ar-SA"/>
        </w:rPr>
        <w:t>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2" w:firstLineChars="20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（一）项目组织架构及实施流程。单位签订服务协议，根据科室职能任务，分散到科室使用；由科室对运行维护进行管理。</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信访网络投诉各运行平台维护经费使用，</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保障了全市3个信访网络平台稳定高效运行；二是确保安全无故障和信息安全；三是实现了群众实名制登录投诉，短信结算办理结果查询；四是全部接入全国信访信息系统，有利于统计和分析。</w:t>
      </w:r>
    </w:p>
    <w:p>
      <w:pPr>
        <w:pageBreakBefore w:val="0"/>
        <w:kinsoku/>
        <w:wordWrap/>
        <w:overflowPunct/>
        <w:topLinePunct w:val="0"/>
        <w:bidi w:val="0"/>
        <w:adjustRightInd w:val="0"/>
        <w:snapToGrid w:val="0"/>
        <w:spacing w:line="576" w:lineRule="exact"/>
        <w:ind w:firstLine="642"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在群众信访过程中，由走访逐级变成通过各种网络平台投诉的趋势下，保障了全市各信访部门和机构通过网络处理群众投诉的要求，同时协商运营商开发更加便捷群众，适合信访部门的运行平台。达到了群众反映问题足不出户，一部手机一个平台便能信访，信访部门网上流转办理，减少走访、越级访。</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zh-CN" w:eastAsia="zh-CN"/>
        </w:rPr>
        <w:t>需求加大基层信访工作人员的网上信访办理业务培训</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Style w:val="25"/>
          <w:rFonts w:ascii="黑体" w:hAnsi="黑体" w:eastAsia="黑体"/>
          <w:b/>
          <w:bCs/>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法律顾问费</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根据川委办﹝2019﹞8号和川司法发﹝2018﹞104号要求，扩大信访律师援助范围，并纳入政府购买范围。在诉访分类的道理上在信访场所为涉法涉诉信访事项解答法律问题，将应当通过法律解决的纠纷引导到司法的途径上。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2"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聘用法律顾问，开展律师参与信访工作，领导信访接待日群众来访接待工作，为接访领导提供法律意见；在信访场所为涉法涉诉信访事项解答法律问题；其他信访事项处置协调过程中需要支付的律师费，达到依法信访，依法处访。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由各平台使用科室进行自评，局班子组织审评。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2.70万元，财政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2.70万元。</w:t>
      </w:r>
    </w:p>
    <w:p>
      <w:pPr>
        <w:pStyle w:val="2"/>
        <w:pageBreakBefore w:val="0"/>
        <w:numPr>
          <w:ilvl w:val="0"/>
          <w:numId w:val="0"/>
        </w:numPr>
        <w:kinsoku/>
        <w:wordWrap/>
        <w:overflowPunct/>
        <w:topLinePunct w:val="0"/>
        <w:bidi w:val="0"/>
        <w:spacing w:line="576" w:lineRule="exact"/>
        <w:ind w:firstLine="642"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2.70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2.70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2.70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2"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w:t>
      </w:r>
      <w:r>
        <w:rPr>
          <w:rFonts w:hint="eastAsia" w:ascii="仿宋_GB2312" w:eastAsia="仿宋_GB2312" w:cs="Times New Roman"/>
          <w:b/>
          <w:bCs/>
          <w:kern w:val="0"/>
          <w:sz w:val="30"/>
          <w:szCs w:val="24"/>
          <w:lang w:val="en-US" w:eastAsia="zh-CN" w:bidi="ar-SA"/>
        </w:rPr>
        <w:t>附与</w:t>
      </w:r>
      <w:r>
        <w:rPr>
          <w:rFonts w:hint="eastAsia" w:ascii="仿宋_GB2312" w:hAnsi="Times New Roman" w:eastAsia="仿宋_GB2312" w:cs="Times New Roman"/>
          <w:b/>
          <w:bCs/>
          <w:kern w:val="0"/>
          <w:sz w:val="30"/>
          <w:szCs w:val="24"/>
          <w:lang w:val="en-US" w:eastAsia="zh-CN" w:bidi="ar-SA"/>
        </w:rPr>
        <w:t>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2" w:firstLineChars="200"/>
        <w:rPr>
          <w:rFonts w:hint="eastAsia"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（一）项目组织架构及实施流程。单位签订法律服务协议，由协议律师事务所派驻律师按期进驻信访场所或根据使用单位需要参加需要提供法律服务的信访协调、处置会议。</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法律顾问费使用，</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（二）项目效益情况。一是按协议进驻信访场所开展法律服务；二是参与信访接待、处置，提供法律服务；三是对不属于信访部门受理的涉法涉诉事项，提供法律咨询，引导通过诉讼解决。</w:t>
      </w:r>
    </w:p>
    <w:p>
      <w:pPr>
        <w:pageBreakBefore w:val="0"/>
        <w:kinsoku/>
        <w:wordWrap/>
        <w:overflowPunct/>
        <w:topLinePunct w:val="0"/>
        <w:bidi w:val="0"/>
        <w:adjustRightInd w:val="0"/>
        <w:snapToGrid w:val="0"/>
        <w:spacing w:line="576" w:lineRule="exact"/>
        <w:ind w:firstLine="642"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zh-CN"/>
        </w:rPr>
        <w:t>（一）评价结论。全年参与信访协调、公开论证会议</w:t>
      </w:r>
      <w:r>
        <w:rPr>
          <w:rFonts w:hint="eastAsia" w:ascii="楷体_GB2312" w:hAnsi="宋体" w:eastAsia="楷体_GB2312"/>
          <w:b/>
          <w:bCs/>
          <w:sz w:val="32"/>
          <w:szCs w:val="32"/>
          <w:lang w:val="en-US" w:eastAsia="zh-CN"/>
        </w:rPr>
        <w:t>62次，向来访群众提供法律咨询服务1486人次、引导到司法途径解决问题267件。将第三方法律服务引用到信访矛盾纠纷解决中，实现在诉访分离中的法律引导。</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一是加强律师的管理；二是设立专门的法律接待房间。</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Style w:val="2"/>
        <w:ind w:firstLine="642" w:firstLineChars="200"/>
        <w:rPr>
          <w:rFonts w:hint="eastAsia" w:ascii="黑体" w:hAnsi="黑体" w:eastAsia="黑体"/>
          <w:b/>
          <w:bCs/>
          <w:color w:val="000000"/>
          <w:sz w:val="44"/>
          <w:szCs w:val="44"/>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特殊疑难信访资金</w:t>
      </w:r>
      <w:r>
        <w:rPr>
          <w:rFonts w:hint="eastAsia" w:ascii="方正小标宋简体" w:hAnsi="宋体" w:eastAsia="方正小标宋简体"/>
          <w:b/>
          <w:bCs/>
          <w:color w:val="000000"/>
          <w:kern w:val="0"/>
          <w:sz w:val="44"/>
          <w:szCs w:val="44"/>
          <w:lang w:val="zh-CN"/>
        </w:rPr>
        <w:t>项目</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both"/>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根据川委办﹝2019﹞8号要求，开展疑难信访事项化解工作，确保信访老户逐步化解，用于解决“三跨三分离”特殊信访事项的解决。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2"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通过项目实施，主要对</w:t>
      </w:r>
      <w:r>
        <w:rPr>
          <w:rFonts w:hint="eastAsia" w:ascii="仿宋_GB2312" w:hAnsi="宋体" w:eastAsia="仿宋_GB2312"/>
          <w:b/>
          <w:bCs/>
          <w:sz w:val="32"/>
          <w:szCs w:val="32"/>
          <w:lang w:val="en-US" w:eastAsia="zh-CN"/>
        </w:rPr>
        <w:t>10年以上的信访老户开展化解工作，对跨地区、跨行业、人户分离等信访案件进行办理，达到息访息诉。</w:t>
      </w:r>
      <w:r>
        <w:rPr>
          <w:rFonts w:hint="eastAsia" w:ascii="仿宋_GB2312" w:hAnsi="宋体" w:eastAsia="仿宋_GB2312"/>
          <w:b/>
          <w:bCs/>
          <w:sz w:val="32"/>
          <w:szCs w:val="32"/>
          <w:lang w:val="zh-CN" w:eastAsia="zh-CN"/>
        </w:rPr>
        <w:t xml:space="preserve">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（三）项目自评步骤及方法。由信访案件承办的科室、人员建立档案资料，进行自我评价</w:t>
      </w:r>
      <w:r>
        <w:rPr>
          <w:rFonts w:hint="eastAsia" w:ascii="仿宋_GB2312" w:hAnsi="宋体" w:eastAsia="仿宋_GB2312"/>
          <w:b/>
          <w:bCs/>
          <w:sz w:val="32"/>
          <w:szCs w:val="32"/>
          <w:lang w:val="zh-CN" w:eastAsia="zh-CN"/>
        </w:rPr>
        <w:t>，局班子组织审评。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4.50万元，财政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4.50万元。</w:t>
      </w:r>
    </w:p>
    <w:p>
      <w:pPr>
        <w:pStyle w:val="2"/>
        <w:pageBreakBefore w:val="0"/>
        <w:numPr>
          <w:ilvl w:val="0"/>
          <w:numId w:val="0"/>
        </w:numPr>
        <w:kinsoku/>
        <w:wordWrap/>
        <w:overflowPunct/>
        <w:topLinePunct w:val="0"/>
        <w:bidi w:val="0"/>
        <w:spacing w:line="576" w:lineRule="exact"/>
        <w:ind w:firstLine="642" w:firstLineChars="200"/>
        <w:rPr>
          <w:rFonts w:hint="eastAsia"/>
          <w:b/>
          <w:bCs/>
          <w:lang w:val="en-US" w:eastAsia="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项目执行过程中，严格遵守相关法律法规和信访工作条例，项目基础业务信息资料齐全并及时归档，项目实施的人员条件、信息支撑等落实到位。资金使用</w:t>
      </w:r>
      <w:r>
        <w:rPr>
          <w:rFonts w:hint="eastAsia"/>
          <w:b/>
          <w:bCs/>
          <w:lang w:val="en-US" w:eastAsia="zh-CN"/>
        </w:rPr>
        <w:t>3.42万元，使用率76%。</w:t>
      </w:r>
    </w:p>
    <w:p>
      <w:pPr>
        <w:pStyle w:val="2"/>
        <w:pageBreakBefore w:val="0"/>
        <w:numPr>
          <w:ilvl w:val="0"/>
          <w:numId w:val="0"/>
        </w:numPr>
        <w:kinsoku/>
        <w:wordWrap/>
        <w:overflowPunct/>
        <w:topLinePunct w:val="0"/>
        <w:bidi w:val="0"/>
        <w:spacing w:line="576" w:lineRule="exact"/>
        <w:ind w:firstLine="602" w:firstLineChars="200"/>
        <w:rPr>
          <w:rFonts w:hint="default"/>
          <w:b/>
          <w:bCs/>
          <w:lang w:val="en-US" w:eastAsia="zh-CN"/>
        </w:rPr>
      </w:pP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4.50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3.42</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2"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2" w:firstLineChars="200"/>
        <w:rPr>
          <w:rFonts w:hint="eastAsia"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（一）项目组织架构及实施流程。由经办科室进行申报、分管领导进行审批。</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信访特殊疑难经费使用，</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76</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（二）项目效益情况。化解</w:t>
      </w:r>
      <w:r>
        <w:rPr>
          <w:rFonts w:hint="eastAsia" w:ascii="楷体_GB2312" w:hAnsi="宋体" w:eastAsia="楷体_GB2312"/>
          <w:b/>
          <w:bCs/>
          <w:sz w:val="32"/>
          <w:szCs w:val="32"/>
          <w:lang w:val="en-US" w:eastAsia="zh-CN"/>
        </w:rPr>
        <w:t>5年以上信访案2件，10年以上信访案1件，均签订息访息诉承诺书。</w:t>
      </w:r>
    </w:p>
    <w:p>
      <w:pPr>
        <w:pageBreakBefore w:val="0"/>
        <w:kinsoku/>
        <w:wordWrap/>
        <w:overflowPunct/>
        <w:topLinePunct w:val="0"/>
        <w:bidi w:val="0"/>
        <w:adjustRightInd w:val="0"/>
        <w:snapToGrid w:val="0"/>
        <w:spacing w:line="576" w:lineRule="exact"/>
        <w:ind w:firstLine="642"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（一）评价结论。通过项目的实施逐步化解和减少老难信访户，减少越级走访的发生，使信访风清气正。</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Style w:val="2"/>
        <w:ind w:firstLine="642" w:firstLineChars="200"/>
        <w:rPr>
          <w:lang w:val="zh-CN"/>
        </w:rPr>
      </w:pPr>
      <w:r>
        <w:rPr>
          <w:rFonts w:hint="eastAsia" w:ascii="楷体_GB2312" w:hAnsi="宋体" w:eastAsia="楷体_GB2312"/>
          <w:b/>
          <w:bCs/>
          <w:sz w:val="32"/>
          <w:szCs w:val="32"/>
          <w:lang w:val="zh-CN"/>
        </w:rPr>
        <w:t>存在有化解后反弹回信访的情况</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Style w:val="2"/>
        <w:ind w:firstLine="642" w:firstLineChars="200"/>
        <w:rPr>
          <w:rFonts w:hint="eastAsia" w:ascii="黑体" w:hAnsi="黑体" w:eastAsia="黑体"/>
          <w:b/>
          <w:bCs/>
          <w:color w:val="000000"/>
          <w:sz w:val="44"/>
          <w:szCs w:val="44"/>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Style w:val="2"/>
        <w:rPr>
          <w:rFonts w:hint="eastAsia" w:ascii="黑体" w:hAnsi="黑体" w:eastAsia="黑体"/>
          <w:b/>
          <w:bCs/>
          <w:color w:val="000000"/>
          <w:sz w:val="44"/>
          <w:szCs w:val="44"/>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eastAsia="zh-CN"/>
        </w:rPr>
        <w:t>聘用人员工资</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pageBreakBefore w:val="0"/>
        <w:kinsoku/>
        <w:wordWrap/>
        <w:overflowPunct/>
        <w:topLinePunct w:val="0"/>
        <w:bidi w:val="0"/>
        <w:adjustRightInd w:val="0"/>
        <w:snapToGrid w:val="0"/>
        <w:spacing w:line="576" w:lineRule="exact"/>
        <w:ind w:firstLine="72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根据市委编办核定我单位聘用人员</w:t>
      </w:r>
      <w:r>
        <w:rPr>
          <w:rFonts w:hint="eastAsia" w:ascii="仿宋_GB2312" w:hAnsi="宋体" w:eastAsia="仿宋_GB2312"/>
          <w:b/>
          <w:bCs/>
          <w:sz w:val="32"/>
          <w:szCs w:val="32"/>
          <w:lang w:val="en-US" w:eastAsia="zh-CN"/>
        </w:rPr>
        <w:t>3人，实现定岗定位完成书记、市长信箱投诉阅读、受理、交办等业务工作。</w:t>
      </w:r>
      <w:r>
        <w:rPr>
          <w:rFonts w:hint="eastAsia" w:ascii="仿宋_GB2312" w:hAnsi="宋体" w:eastAsia="仿宋_GB2312"/>
          <w:b/>
          <w:bCs/>
          <w:sz w:val="32"/>
          <w:szCs w:val="32"/>
          <w:lang w:val="zh-CN" w:eastAsia="zh-CN"/>
        </w:rPr>
        <w:t xml:space="preserve">发放聘用人员的工资，缴纳相关社保。  </w:t>
      </w:r>
      <w:r>
        <w:rPr>
          <w:rFonts w:hint="eastAsia"/>
          <w:lang w:val="zh-CN" w:eastAsia="zh-CN"/>
        </w:rPr>
        <w:t xml:space="preserve">                                                                                                                                      </w:t>
      </w:r>
      <w:r>
        <w:rPr>
          <w:rFonts w:hint="eastAsia" w:ascii="仿宋_GB2312" w:hAnsi="宋体" w:eastAsia="仿宋_GB2312"/>
          <w:b/>
          <w:bCs/>
          <w:sz w:val="32"/>
          <w:szCs w:val="32"/>
          <w:lang w:val="zh-CN" w:eastAsia="zh-CN"/>
        </w:rPr>
        <w:t xml:space="preserve">                         </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642" w:firstLineChars="200"/>
        <w:jc w:val="left"/>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 xml:space="preserve">通过项目实施，弥补市群众工作中心人员不足的情况，定岗到书记市长信箱科工作，由科室负责人进行管理和平时工作的考核。对书记市长信箱每日来信进行办理、统计、突出问题上报。                                                                                                                                                                                                                                                                                                                                                                                                                                                                                                                                                       </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b/>
          <w:bCs/>
          <w:sz w:val="32"/>
          <w:szCs w:val="32"/>
          <w:lang w:val="zh-CN"/>
        </w:rPr>
        <w:t>（三）项目自评步骤及方法。</w:t>
      </w:r>
      <w:r>
        <w:rPr>
          <w:rFonts w:hint="eastAsia" w:ascii="仿宋_GB2312" w:hAnsi="宋体" w:eastAsia="仿宋_GB2312"/>
          <w:b/>
          <w:bCs/>
          <w:sz w:val="32"/>
          <w:szCs w:val="32"/>
          <w:lang w:val="zh-CN" w:eastAsia="zh-CN"/>
        </w:rPr>
        <w:t>由各平台使用科室进行自评，局班子组织审评。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10.50万元，财政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10.50万元。</w:t>
      </w:r>
    </w:p>
    <w:p>
      <w:pPr>
        <w:pStyle w:val="2"/>
        <w:pageBreakBefore w:val="0"/>
        <w:numPr>
          <w:ilvl w:val="0"/>
          <w:numId w:val="0"/>
        </w:numPr>
        <w:kinsoku/>
        <w:wordWrap/>
        <w:overflowPunct/>
        <w:topLinePunct w:val="0"/>
        <w:bidi w:val="0"/>
        <w:spacing w:line="576" w:lineRule="exact"/>
        <w:ind w:firstLine="642"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hAnsi="宋体"/>
                <w:b/>
                <w:bCs/>
                <w:sz w:val="32"/>
                <w:szCs w:val="32"/>
                <w:lang w:val="en-US" w:eastAsia="zh-CN"/>
              </w:rPr>
              <w:t>10.50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hAnsi="宋体"/>
                <w:b/>
                <w:bCs/>
                <w:sz w:val="32"/>
                <w:szCs w:val="32"/>
                <w:lang w:val="en-US" w:eastAsia="zh-CN"/>
              </w:rPr>
              <w:t>10.50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hAnsi="宋体"/>
                <w:b/>
                <w:bCs/>
                <w:sz w:val="32"/>
                <w:szCs w:val="32"/>
                <w:lang w:val="en-US" w:eastAsia="zh-CN"/>
              </w:rPr>
              <w:t>10.50</w:t>
            </w:r>
            <w:r>
              <w:rPr>
                <w:rFonts w:hint="eastAsia" w:ascii="仿宋_GB2312" w:hAnsi="宋体" w:eastAsia="仿宋_GB2312"/>
                <w:b/>
                <w:bCs/>
                <w:sz w:val="32"/>
                <w:szCs w:val="32"/>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2"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务管理情况。由科室管理人员进行绩效考核，</w:t>
      </w:r>
      <w:r>
        <w:rPr>
          <w:rFonts w:hint="eastAsia" w:ascii="仿宋_GB2312" w:hAnsi="Times New Roman" w:eastAsia="仿宋_GB2312" w:cs="Times New Roman"/>
          <w:b/>
          <w:bCs/>
          <w:kern w:val="0"/>
          <w:sz w:val="30"/>
          <w:szCs w:val="24"/>
          <w:lang w:val="en-US" w:eastAsia="zh-CN" w:bidi="ar-SA"/>
        </w:rPr>
        <w:t>按规定的程序审核、审批</w:t>
      </w:r>
      <w:r>
        <w:rPr>
          <w:rFonts w:hint="eastAsia" w:ascii="仿宋_GB2312" w:eastAsia="仿宋_GB2312" w:cs="Times New Roman"/>
          <w:b/>
          <w:bCs/>
          <w:kern w:val="0"/>
          <w:sz w:val="30"/>
          <w:szCs w:val="24"/>
          <w:lang w:val="en-US" w:eastAsia="zh-CN" w:bidi="ar-SA"/>
        </w:rPr>
        <w:t>聘用人员月工资</w:t>
      </w:r>
      <w:r>
        <w:rPr>
          <w:rFonts w:hint="eastAsia" w:ascii="仿宋_GB2312" w:hAnsi="Times New Roman" w:eastAsia="仿宋_GB2312" w:cs="Times New Roman"/>
          <w:b/>
          <w:bCs/>
          <w:kern w:val="0"/>
          <w:sz w:val="30"/>
          <w:szCs w:val="24"/>
          <w:lang w:val="en-US" w:eastAsia="zh-CN" w:bidi="ar-SA"/>
        </w:rPr>
        <w:t>，并领导审批签字，进行支付。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2" w:firstLineChars="200"/>
        <w:rPr>
          <w:rFonts w:hint="eastAsia" w:ascii="楷体_GB2312" w:hAnsi="宋体" w:eastAsia="楷体_GB2312"/>
          <w:b/>
          <w:bCs/>
          <w:sz w:val="32"/>
          <w:szCs w:val="32"/>
          <w:lang w:val="en-US" w:eastAsia="zh-CN"/>
        </w:rPr>
      </w:pPr>
      <w:r>
        <w:rPr>
          <w:rFonts w:hint="eastAsia" w:ascii="楷体_GB2312" w:hAnsi="宋体" w:eastAsia="楷体_GB2312"/>
          <w:b/>
          <w:bCs/>
          <w:sz w:val="32"/>
          <w:szCs w:val="32"/>
          <w:lang w:val="zh-CN"/>
        </w:rPr>
        <w:t>（一）项目组织架构及实施流程。聘用人员定岗到书记市长信箱科室，完成信箱日常工作。科室负责人对其实施管理和工作考核，对工作完成情况、群众投诉办理满意率进行绩效考核。</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聘用人员费用支出，</w:t>
      </w:r>
      <w:r>
        <w:rPr>
          <w:rFonts w:hint="eastAsia" w:ascii="仿宋_GB2312" w:hAnsi="Times New Roman" w:eastAsia="仿宋_GB2312" w:cs="Times New Roman"/>
          <w:b/>
          <w:bCs/>
          <w:kern w:val="0"/>
          <w:sz w:val="30"/>
          <w:szCs w:val="24"/>
          <w:lang w:val="zh-CN" w:eastAsia="zh-CN" w:bidi="ar-SA"/>
        </w:rPr>
        <w:t>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楷体_GB2312" w:hAnsi="宋体" w:eastAsia="楷体_GB2312"/>
          <w:b/>
          <w:bCs/>
          <w:sz w:val="32"/>
          <w:szCs w:val="32"/>
          <w:lang w:val="zh-CN" w:eastAsia="zh-CN"/>
        </w:rPr>
        <w:t>项目资金使用率为</w:t>
      </w:r>
      <w:r>
        <w:rPr>
          <w:rFonts w:hint="eastAsia" w:ascii="楷体_GB2312" w:hAnsi="宋体" w:eastAsia="楷体_GB2312"/>
          <w:b/>
          <w:bCs/>
          <w:sz w:val="32"/>
          <w:szCs w:val="32"/>
          <w:lang w:val="en-US" w:eastAsia="zh-CN"/>
        </w:rPr>
        <w:t>100%。</w:t>
      </w:r>
    </w:p>
    <w:p>
      <w:pPr>
        <w:pageBreakBefore w:val="0"/>
        <w:kinsoku/>
        <w:wordWrap/>
        <w:overflowPunct/>
        <w:topLinePunct w:val="0"/>
        <w:bidi w:val="0"/>
        <w:adjustRightInd w:val="0"/>
        <w:snapToGrid w:val="0"/>
        <w:spacing w:line="576" w:lineRule="exact"/>
        <w:ind w:firstLine="720"/>
        <w:rPr>
          <w:rFonts w:hint="default" w:ascii="仿宋_GB2312" w:hAnsi="宋体" w:eastAsia="楷体_GB2312" w:cs="Times New Roman"/>
          <w:b/>
          <w:bCs/>
          <w:color w:val="0000FF"/>
          <w:sz w:val="32"/>
          <w:szCs w:val="32"/>
          <w:lang w:val="en-US" w:eastAsia="zh-CN"/>
        </w:rPr>
      </w:pPr>
      <w:r>
        <w:rPr>
          <w:rFonts w:hint="eastAsia" w:ascii="楷体_GB2312" w:hAnsi="宋体" w:eastAsia="楷体_GB2312"/>
          <w:b/>
          <w:bCs/>
          <w:sz w:val="32"/>
          <w:szCs w:val="32"/>
          <w:lang w:val="zh-CN"/>
        </w:rPr>
        <w:t>（二）项目效益情况。一是全年阅读、受理、办结群众投诉</w:t>
      </w:r>
      <w:r>
        <w:rPr>
          <w:rFonts w:hint="eastAsia" w:ascii="楷体_GB2312" w:hAnsi="宋体" w:eastAsia="楷体_GB2312"/>
          <w:b/>
          <w:bCs/>
          <w:sz w:val="32"/>
          <w:szCs w:val="32"/>
          <w:lang w:val="en-US" w:eastAsia="zh-CN"/>
        </w:rPr>
        <w:t>15624件；二是出具12分情分析报告；三是报送重点、热点、群众反映突出领域的事项22件；四是受理率100%、群众满意率86.7%。</w:t>
      </w:r>
    </w:p>
    <w:p>
      <w:pPr>
        <w:pageBreakBefore w:val="0"/>
        <w:kinsoku/>
        <w:wordWrap/>
        <w:overflowPunct/>
        <w:topLinePunct w:val="0"/>
        <w:bidi w:val="0"/>
        <w:adjustRightInd w:val="0"/>
        <w:snapToGrid w:val="0"/>
        <w:spacing w:line="576" w:lineRule="exact"/>
        <w:ind w:firstLine="642"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（一）评价结论。完成了书记市长信箱的日常管理和来信处理工作，及时转办交办、按期办理群众来信，人员绩效考核均达到良好以上。</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一是在电子表格软件运行上还需要提高；二是社情分析还不能重点，公文写作还需要加强。</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adjustRightInd w:val="0"/>
        <w:snapToGrid w:val="0"/>
        <w:spacing w:line="576" w:lineRule="exact"/>
        <w:ind w:firstLine="720"/>
        <w:rPr>
          <w:rFonts w:hint="default" w:ascii="楷体_GB2312" w:hAnsi="宋体" w:eastAsia="楷体_GB2312"/>
          <w:b/>
          <w:bCs/>
          <w:sz w:val="32"/>
          <w:szCs w:val="32"/>
          <w:lang w:val="en-US" w:eastAsia="zh-CN"/>
        </w:rPr>
      </w:pPr>
      <w:r>
        <w:rPr>
          <w:rFonts w:hint="eastAsia" w:ascii="楷体_GB2312" w:hAnsi="宋体" w:eastAsia="楷体_GB2312"/>
          <w:b/>
          <w:bCs/>
          <w:sz w:val="32"/>
          <w:szCs w:val="32"/>
          <w:lang w:val="en-US" w:eastAsia="zh-CN"/>
        </w:rPr>
        <w:t>一是根据岗位职责绩效抓好聘用人员的管理；二是加强社情分析和公文写作的培训和学习。</w:t>
      </w: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kinsoku/>
        <w:wordWrap/>
        <w:overflowPunct/>
        <w:topLinePunct w:val="0"/>
        <w:bidi w:val="0"/>
        <w:spacing w:line="576" w:lineRule="exact"/>
        <w:jc w:val="center"/>
        <w:outlineLvl w:val="0"/>
        <w:rPr>
          <w:rFonts w:hint="eastAsia" w:ascii="黑体" w:hAnsi="黑体" w:eastAsia="黑体"/>
          <w:b/>
          <w:bCs/>
          <w:color w:val="000000"/>
          <w:sz w:val="44"/>
          <w:szCs w:val="44"/>
        </w:rPr>
      </w:pPr>
    </w:p>
    <w:p>
      <w:pPr>
        <w:pageBreakBefore w:val="0"/>
        <w:widowControl/>
        <w:kinsoku/>
        <w:wordWrap/>
        <w:overflowPunct/>
        <w:topLinePunct w:val="0"/>
        <w:bidi w:val="0"/>
        <w:spacing w:line="576" w:lineRule="exact"/>
        <w:jc w:val="left"/>
        <w:rPr>
          <w:rStyle w:val="25"/>
          <w:rFonts w:ascii="黑体" w:hAnsi="黑体" w:eastAsia="黑体"/>
          <w:b/>
          <w:bCs/>
        </w:rPr>
      </w:pPr>
    </w:p>
    <w:p>
      <w:pPr>
        <w:pageBreakBefore w:val="0"/>
        <w:widowControl/>
        <w:kinsoku/>
        <w:wordWrap/>
        <w:overflowPunct/>
        <w:topLinePunct w:val="0"/>
        <w:bidi w:val="0"/>
        <w:spacing w:line="576" w:lineRule="exact"/>
        <w:jc w:val="left"/>
        <w:rPr>
          <w:rStyle w:val="25"/>
          <w:rFonts w:ascii="黑体" w:hAnsi="黑体" w:eastAsia="黑体"/>
          <w:b/>
          <w:bCs/>
        </w:rPr>
      </w:pPr>
      <w:r>
        <w:rPr>
          <w:rStyle w:val="25"/>
          <w:rFonts w:ascii="黑体" w:hAnsi="黑体" w:eastAsia="黑体"/>
          <w:b/>
          <w:bCs/>
        </w:rPr>
        <w:br w:type="page"/>
      </w:r>
    </w:p>
    <w:p>
      <w:pPr>
        <w:pageBreakBefore w:val="0"/>
        <w:kinsoku/>
        <w:wordWrap/>
        <w:overflowPunct/>
        <w:topLinePunct w:val="0"/>
        <w:bidi w:val="0"/>
        <w:spacing w:line="576" w:lineRule="exact"/>
        <w:jc w:val="center"/>
        <w:outlineLvl w:val="0"/>
        <w:rPr>
          <w:rStyle w:val="25"/>
          <w:rFonts w:ascii="黑体" w:hAnsi="黑体" w:eastAsia="黑体"/>
          <w:b/>
          <w:bCs/>
        </w:rPr>
      </w:pPr>
    </w:p>
    <w:p>
      <w:pPr>
        <w:pageBreakBefore w:val="0"/>
        <w:kinsoku/>
        <w:wordWrap/>
        <w:overflowPunct/>
        <w:topLinePunct w:val="0"/>
        <w:bidi w:val="0"/>
        <w:spacing w:line="576" w:lineRule="exact"/>
        <w:jc w:val="center"/>
        <w:outlineLvl w:val="0"/>
        <w:rPr>
          <w:rStyle w:val="25"/>
          <w:rFonts w:ascii="黑体" w:hAnsi="黑体" w:eastAsia="黑体"/>
          <w:b/>
          <w:bCs/>
        </w:rPr>
      </w:pPr>
      <w:bookmarkStart w:id="63" w:name="_Toc15396618"/>
      <w:r>
        <w:rPr>
          <w:rFonts w:hint="eastAsia" w:ascii="黑体" w:hAnsi="黑体" w:eastAsia="黑体"/>
          <w:b/>
          <w:bCs/>
          <w:color w:val="000000"/>
          <w:sz w:val="44"/>
          <w:szCs w:val="44"/>
        </w:rPr>
        <w:t>第</w:t>
      </w:r>
      <w:r>
        <w:rPr>
          <w:rStyle w:val="25"/>
          <w:rFonts w:hint="eastAsia" w:ascii="黑体" w:hAnsi="黑体" w:eastAsia="黑体"/>
          <w:b/>
          <w:bCs/>
        </w:rPr>
        <w:t>五部分 附表</w:t>
      </w:r>
      <w:bookmarkEnd w:id="61"/>
      <w:bookmarkEnd w:id="63"/>
    </w:p>
    <w:p>
      <w:pPr>
        <w:pageBreakBefore w:val="0"/>
        <w:kinsoku/>
        <w:wordWrap/>
        <w:overflowPunct/>
        <w:topLinePunct w:val="0"/>
        <w:bidi w:val="0"/>
        <w:spacing w:line="576" w:lineRule="exact"/>
        <w:jc w:val="center"/>
        <w:outlineLvl w:val="0"/>
        <w:rPr>
          <w:rFonts w:ascii="仿宋" w:hAnsi="仿宋" w:eastAsia="仿宋"/>
          <w:b/>
          <w:bCs/>
          <w:color w:val="000000"/>
          <w:sz w:val="44"/>
          <w:szCs w:val="44"/>
        </w:rPr>
      </w:pPr>
    </w:p>
    <w:p>
      <w:pPr>
        <w:pStyle w:val="4"/>
        <w:pageBreakBefore w:val="0"/>
        <w:kinsoku/>
        <w:wordWrap/>
        <w:overflowPunct/>
        <w:topLinePunct w:val="0"/>
        <w:bidi w:val="0"/>
        <w:spacing w:line="576" w:lineRule="exact"/>
        <w:rPr>
          <w:rFonts w:ascii="仿宋" w:hAnsi="仿宋" w:eastAsia="仿宋"/>
          <w:b/>
          <w:bCs/>
          <w:color w:val="000000"/>
        </w:rPr>
      </w:pPr>
      <w:bookmarkStart w:id="64" w:name="_Toc15396619"/>
      <w:r>
        <w:rPr>
          <w:rFonts w:hint="eastAsia" w:ascii="仿宋" w:hAnsi="仿宋" w:eastAsia="仿宋"/>
          <w:b/>
          <w:bCs/>
          <w:color w:val="000000"/>
        </w:rPr>
        <w:t>一、收</w:t>
      </w:r>
      <w:r>
        <w:rPr>
          <w:rStyle w:val="26"/>
          <w:rFonts w:hint="eastAsia" w:ascii="仿宋" w:hAnsi="仿宋" w:eastAsia="仿宋"/>
          <w:b/>
          <w:bCs/>
        </w:rPr>
        <w:t>入支出决算总表</w:t>
      </w:r>
      <w:bookmarkEnd w:id="64"/>
    </w:p>
    <w:p>
      <w:pPr>
        <w:pStyle w:val="4"/>
        <w:pageBreakBefore w:val="0"/>
        <w:kinsoku/>
        <w:wordWrap/>
        <w:overflowPunct/>
        <w:topLinePunct w:val="0"/>
        <w:bidi w:val="0"/>
        <w:spacing w:line="576" w:lineRule="exact"/>
        <w:rPr>
          <w:rFonts w:ascii="仿宋" w:hAnsi="仿宋" w:eastAsia="仿宋"/>
          <w:b/>
          <w:bCs/>
          <w:color w:val="000000"/>
        </w:rPr>
      </w:pPr>
      <w:bookmarkStart w:id="65" w:name="_Toc15396620"/>
      <w:r>
        <w:rPr>
          <w:rFonts w:hint="eastAsia" w:ascii="仿宋" w:hAnsi="仿宋" w:eastAsia="仿宋"/>
          <w:b/>
          <w:bCs/>
          <w:color w:val="000000"/>
        </w:rPr>
        <w:t>二、收</w:t>
      </w:r>
      <w:r>
        <w:rPr>
          <w:rStyle w:val="26"/>
          <w:rFonts w:hint="eastAsia" w:ascii="仿宋" w:hAnsi="仿宋" w:eastAsia="仿宋"/>
          <w:b/>
          <w:bCs/>
        </w:rPr>
        <w:t>入决算表</w:t>
      </w:r>
      <w:bookmarkEnd w:id="65"/>
    </w:p>
    <w:p>
      <w:pPr>
        <w:pStyle w:val="4"/>
        <w:pageBreakBefore w:val="0"/>
        <w:kinsoku/>
        <w:wordWrap/>
        <w:overflowPunct/>
        <w:topLinePunct w:val="0"/>
        <w:bidi w:val="0"/>
        <w:spacing w:line="576" w:lineRule="exact"/>
        <w:rPr>
          <w:rFonts w:ascii="仿宋" w:hAnsi="仿宋" w:eastAsia="仿宋"/>
          <w:b/>
          <w:bCs/>
          <w:color w:val="000000"/>
        </w:rPr>
      </w:pPr>
      <w:bookmarkStart w:id="66" w:name="_Toc15396621"/>
      <w:r>
        <w:rPr>
          <w:rStyle w:val="26"/>
          <w:rFonts w:hint="eastAsia" w:ascii="仿宋" w:hAnsi="仿宋" w:eastAsia="仿宋"/>
          <w:b/>
          <w:bCs/>
        </w:rPr>
        <w:t>三、</w:t>
      </w:r>
      <w:r>
        <w:rPr>
          <w:rFonts w:hint="eastAsia" w:ascii="仿宋" w:hAnsi="仿宋" w:eastAsia="仿宋"/>
          <w:b/>
          <w:bCs/>
          <w:color w:val="000000"/>
        </w:rPr>
        <w:t>支</w:t>
      </w:r>
      <w:r>
        <w:rPr>
          <w:rStyle w:val="26"/>
          <w:rFonts w:hint="eastAsia" w:ascii="仿宋" w:hAnsi="仿宋" w:eastAsia="仿宋"/>
          <w:b/>
          <w:bCs/>
        </w:rPr>
        <w:t>出决算表</w:t>
      </w:r>
      <w:bookmarkEnd w:id="66"/>
    </w:p>
    <w:p>
      <w:pPr>
        <w:pStyle w:val="4"/>
        <w:pageBreakBefore w:val="0"/>
        <w:kinsoku/>
        <w:wordWrap/>
        <w:overflowPunct/>
        <w:topLinePunct w:val="0"/>
        <w:bidi w:val="0"/>
        <w:spacing w:line="576" w:lineRule="exact"/>
        <w:rPr>
          <w:rFonts w:ascii="仿宋" w:hAnsi="仿宋" w:eastAsia="仿宋"/>
          <w:b/>
          <w:bCs/>
          <w:color w:val="000000"/>
        </w:rPr>
      </w:pPr>
      <w:bookmarkStart w:id="67" w:name="_Toc15396622"/>
      <w:r>
        <w:rPr>
          <w:rStyle w:val="26"/>
          <w:rFonts w:hint="eastAsia" w:ascii="仿宋" w:hAnsi="仿宋" w:eastAsia="仿宋"/>
          <w:b/>
          <w:bCs/>
        </w:rPr>
        <w:t>四、</w:t>
      </w:r>
      <w:r>
        <w:rPr>
          <w:rFonts w:hint="eastAsia" w:ascii="仿宋" w:hAnsi="仿宋" w:eastAsia="仿宋"/>
          <w:b/>
          <w:bCs/>
          <w:color w:val="000000"/>
        </w:rPr>
        <w:t>财</w:t>
      </w:r>
      <w:r>
        <w:rPr>
          <w:rStyle w:val="26"/>
          <w:rFonts w:hint="eastAsia" w:ascii="仿宋" w:hAnsi="仿宋" w:eastAsia="仿宋"/>
          <w:b/>
          <w:bCs/>
        </w:rPr>
        <w:t>政拨款收入支出决算总表</w:t>
      </w:r>
      <w:bookmarkEnd w:id="67"/>
    </w:p>
    <w:p>
      <w:pPr>
        <w:pStyle w:val="4"/>
        <w:pageBreakBefore w:val="0"/>
        <w:kinsoku/>
        <w:wordWrap/>
        <w:overflowPunct/>
        <w:topLinePunct w:val="0"/>
        <w:bidi w:val="0"/>
        <w:spacing w:line="576" w:lineRule="exact"/>
        <w:rPr>
          <w:rStyle w:val="26"/>
          <w:rFonts w:ascii="仿宋" w:hAnsi="仿宋" w:eastAsia="仿宋"/>
          <w:b/>
          <w:bCs/>
        </w:rPr>
      </w:pPr>
      <w:bookmarkStart w:id="68" w:name="_Toc15396623"/>
      <w:r>
        <w:rPr>
          <w:rStyle w:val="26"/>
          <w:rFonts w:hint="eastAsia" w:ascii="仿宋" w:hAnsi="仿宋" w:eastAsia="仿宋"/>
          <w:b/>
          <w:bCs/>
        </w:rPr>
        <w:t>五、</w:t>
      </w:r>
      <w:r>
        <w:rPr>
          <w:rFonts w:hint="eastAsia" w:ascii="仿宋" w:hAnsi="仿宋" w:eastAsia="仿宋"/>
          <w:b/>
          <w:bCs/>
          <w:color w:val="000000"/>
        </w:rPr>
        <w:t>财</w:t>
      </w:r>
      <w:r>
        <w:rPr>
          <w:rStyle w:val="26"/>
          <w:rFonts w:hint="eastAsia" w:ascii="仿宋" w:hAnsi="仿宋" w:eastAsia="仿宋"/>
          <w:b/>
          <w:bCs/>
        </w:rPr>
        <w:t>政拨款支出决算明细表</w:t>
      </w:r>
      <w:bookmarkEnd w:id="68"/>
      <w:bookmarkStart w:id="69" w:name="_Toc15396624"/>
    </w:p>
    <w:p>
      <w:pPr>
        <w:pStyle w:val="4"/>
        <w:pageBreakBefore w:val="0"/>
        <w:kinsoku/>
        <w:wordWrap/>
        <w:overflowPunct/>
        <w:topLinePunct w:val="0"/>
        <w:bidi w:val="0"/>
        <w:spacing w:line="576" w:lineRule="exact"/>
        <w:rPr>
          <w:rFonts w:ascii="仿宋" w:hAnsi="仿宋" w:eastAsia="仿宋"/>
          <w:b/>
          <w:bCs/>
          <w:color w:val="000000"/>
        </w:rPr>
      </w:pPr>
      <w:r>
        <w:rPr>
          <w:rStyle w:val="26"/>
          <w:rFonts w:hint="eastAsia" w:ascii="仿宋" w:hAnsi="仿宋" w:eastAsia="仿宋"/>
          <w:b/>
          <w:bCs/>
        </w:rPr>
        <w:t>六、</w:t>
      </w:r>
      <w:r>
        <w:rPr>
          <w:rFonts w:hint="eastAsia" w:ascii="仿宋" w:hAnsi="仿宋" w:eastAsia="仿宋"/>
          <w:b/>
          <w:bCs/>
          <w:color w:val="000000"/>
        </w:rPr>
        <w:t>一</w:t>
      </w:r>
      <w:r>
        <w:rPr>
          <w:rStyle w:val="26"/>
          <w:rFonts w:hint="eastAsia" w:ascii="仿宋" w:hAnsi="仿宋" w:eastAsia="仿宋"/>
          <w:b/>
          <w:bCs/>
        </w:rPr>
        <w:t>般公共预算财政拨款支出决算表</w:t>
      </w:r>
      <w:bookmarkEnd w:id="69"/>
    </w:p>
    <w:p>
      <w:pPr>
        <w:pStyle w:val="4"/>
        <w:pageBreakBefore w:val="0"/>
        <w:kinsoku/>
        <w:wordWrap/>
        <w:overflowPunct/>
        <w:topLinePunct w:val="0"/>
        <w:bidi w:val="0"/>
        <w:spacing w:line="576" w:lineRule="exact"/>
        <w:rPr>
          <w:rFonts w:ascii="仿宋" w:hAnsi="仿宋" w:eastAsia="仿宋"/>
          <w:b/>
          <w:bCs/>
          <w:color w:val="000000"/>
        </w:rPr>
      </w:pPr>
      <w:bookmarkStart w:id="70" w:name="_Toc15396625"/>
      <w:r>
        <w:rPr>
          <w:rStyle w:val="26"/>
          <w:rFonts w:hint="eastAsia" w:ascii="仿宋" w:hAnsi="仿宋" w:eastAsia="仿宋"/>
          <w:b/>
          <w:bCs/>
        </w:rPr>
        <w:t>七、</w:t>
      </w:r>
      <w:r>
        <w:rPr>
          <w:rFonts w:hint="eastAsia" w:ascii="仿宋" w:hAnsi="仿宋" w:eastAsia="仿宋"/>
          <w:b/>
          <w:bCs/>
          <w:color w:val="000000"/>
        </w:rPr>
        <w:t>一</w:t>
      </w:r>
      <w:r>
        <w:rPr>
          <w:rStyle w:val="26"/>
          <w:rFonts w:hint="eastAsia" w:ascii="仿宋" w:hAnsi="仿宋" w:eastAsia="仿宋"/>
          <w:b/>
          <w:bCs/>
        </w:rPr>
        <w:t>般公共预算财政拨款支出决算明细表</w:t>
      </w:r>
      <w:bookmarkEnd w:id="70"/>
    </w:p>
    <w:p>
      <w:pPr>
        <w:pStyle w:val="4"/>
        <w:pageBreakBefore w:val="0"/>
        <w:kinsoku/>
        <w:wordWrap/>
        <w:overflowPunct/>
        <w:topLinePunct w:val="0"/>
        <w:bidi w:val="0"/>
        <w:spacing w:line="576" w:lineRule="exact"/>
        <w:rPr>
          <w:rFonts w:ascii="仿宋" w:hAnsi="仿宋" w:eastAsia="仿宋"/>
          <w:b/>
          <w:bCs/>
          <w:color w:val="000000"/>
        </w:rPr>
      </w:pPr>
      <w:bookmarkStart w:id="71" w:name="_Toc15396626"/>
      <w:r>
        <w:rPr>
          <w:rStyle w:val="26"/>
          <w:rFonts w:hint="eastAsia" w:ascii="仿宋" w:hAnsi="仿宋" w:eastAsia="仿宋"/>
          <w:b/>
          <w:bCs/>
        </w:rPr>
        <w:t>八、</w:t>
      </w:r>
      <w:r>
        <w:rPr>
          <w:rFonts w:hint="eastAsia" w:ascii="仿宋" w:hAnsi="仿宋" w:eastAsia="仿宋"/>
          <w:b/>
          <w:bCs/>
          <w:color w:val="000000"/>
        </w:rPr>
        <w:t>一</w:t>
      </w:r>
      <w:r>
        <w:rPr>
          <w:rStyle w:val="26"/>
          <w:rFonts w:hint="eastAsia" w:ascii="仿宋" w:hAnsi="仿宋" w:eastAsia="仿宋"/>
          <w:b/>
          <w:bCs/>
        </w:rPr>
        <w:t>般公共预算财政拨款基本支出决算表</w:t>
      </w:r>
      <w:bookmarkEnd w:id="71"/>
    </w:p>
    <w:p>
      <w:pPr>
        <w:pStyle w:val="4"/>
        <w:pageBreakBefore w:val="0"/>
        <w:kinsoku/>
        <w:wordWrap/>
        <w:overflowPunct/>
        <w:topLinePunct w:val="0"/>
        <w:bidi w:val="0"/>
        <w:spacing w:line="576" w:lineRule="exact"/>
        <w:rPr>
          <w:rFonts w:ascii="仿宋" w:hAnsi="仿宋" w:eastAsia="仿宋"/>
          <w:b/>
          <w:bCs/>
          <w:color w:val="000000"/>
        </w:rPr>
      </w:pPr>
      <w:bookmarkStart w:id="72" w:name="_Toc15396627"/>
      <w:r>
        <w:rPr>
          <w:rStyle w:val="26"/>
          <w:rFonts w:hint="eastAsia" w:ascii="仿宋" w:hAnsi="仿宋" w:eastAsia="仿宋"/>
          <w:b/>
          <w:bCs/>
        </w:rPr>
        <w:t>九、</w:t>
      </w:r>
      <w:r>
        <w:rPr>
          <w:rFonts w:hint="eastAsia" w:ascii="仿宋" w:hAnsi="仿宋" w:eastAsia="仿宋"/>
          <w:b/>
          <w:bCs/>
          <w:color w:val="000000"/>
        </w:rPr>
        <w:t>一</w:t>
      </w:r>
      <w:r>
        <w:rPr>
          <w:rStyle w:val="26"/>
          <w:rFonts w:hint="eastAsia" w:ascii="仿宋" w:hAnsi="仿宋" w:eastAsia="仿宋"/>
          <w:b/>
          <w:bCs/>
        </w:rPr>
        <w:t>般公共预算财政拨款项目支出决算表</w:t>
      </w:r>
      <w:bookmarkEnd w:id="72"/>
    </w:p>
    <w:p>
      <w:pPr>
        <w:pStyle w:val="4"/>
        <w:pageBreakBefore w:val="0"/>
        <w:kinsoku/>
        <w:wordWrap/>
        <w:overflowPunct/>
        <w:topLinePunct w:val="0"/>
        <w:bidi w:val="0"/>
        <w:spacing w:line="576" w:lineRule="exact"/>
        <w:rPr>
          <w:rFonts w:ascii="仿宋" w:hAnsi="仿宋" w:eastAsia="仿宋"/>
          <w:b/>
          <w:bCs/>
          <w:color w:val="000000"/>
        </w:rPr>
      </w:pPr>
      <w:bookmarkStart w:id="73" w:name="_Toc15396628"/>
      <w:r>
        <w:rPr>
          <w:rStyle w:val="26"/>
          <w:rFonts w:hint="eastAsia" w:ascii="仿宋" w:hAnsi="仿宋" w:eastAsia="仿宋"/>
          <w:b/>
          <w:bCs/>
        </w:rPr>
        <w:t>十、</w:t>
      </w:r>
      <w:r>
        <w:rPr>
          <w:rFonts w:hint="eastAsia" w:ascii="仿宋" w:hAnsi="仿宋" w:eastAsia="仿宋"/>
          <w:b/>
          <w:bCs/>
          <w:color w:val="000000"/>
        </w:rPr>
        <w:t>一</w:t>
      </w:r>
      <w:r>
        <w:rPr>
          <w:rStyle w:val="26"/>
          <w:rFonts w:hint="eastAsia" w:ascii="仿宋" w:hAnsi="仿宋" w:eastAsia="仿宋"/>
          <w:b/>
          <w:bCs/>
        </w:rPr>
        <w:t>般公共预算财政拨款“三公”经费支出决算表</w:t>
      </w:r>
      <w:bookmarkEnd w:id="73"/>
    </w:p>
    <w:p>
      <w:pPr>
        <w:pStyle w:val="4"/>
        <w:pageBreakBefore w:val="0"/>
        <w:kinsoku/>
        <w:wordWrap/>
        <w:overflowPunct/>
        <w:topLinePunct w:val="0"/>
        <w:bidi w:val="0"/>
        <w:spacing w:line="576" w:lineRule="exact"/>
        <w:rPr>
          <w:rFonts w:ascii="仿宋" w:hAnsi="仿宋" w:eastAsia="仿宋"/>
          <w:b/>
          <w:bCs/>
          <w:color w:val="000000"/>
        </w:rPr>
      </w:pPr>
      <w:bookmarkStart w:id="74" w:name="_Toc15396629"/>
      <w:r>
        <w:rPr>
          <w:rStyle w:val="26"/>
          <w:rFonts w:hint="eastAsia" w:ascii="仿宋" w:hAnsi="仿宋" w:eastAsia="仿宋"/>
          <w:b/>
          <w:bCs/>
        </w:rPr>
        <w:t>十一、</w:t>
      </w:r>
      <w:r>
        <w:rPr>
          <w:rFonts w:hint="eastAsia" w:ascii="仿宋" w:hAnsi="仿宋" w:eastAsia="仿宋"/>
          <w:b/>
          <w:bCs/>
          <w:color w:val="000000"/>
        </w:rPr>
        <w:t>政</w:t>
      </w:r>
      <w:r>
        <w:rPr>
          <w:rStyle w:val="26"/>
          <w:rFonts w:hint="eastAsia" w:ascii="仿宋" w:hAnsi="仿宋" w:eastAsia="仿宋"/>
          <w:b/>
          <w:bCs/>
        </w:rPr>
        <w:t>府性基金预算财政拨款收入支出决算表</w:t>
      </w:r>
      <w:bookmarkEnd w:id="74"/>
    </w:p>
    <w:p>
      <w:pPr>
        <w:pStyle w:val="4"/>
        <w:pageBreakBefore w:val="0"/>
        <w:kinsoku/>
        <w:wordWrap/>
        <w:overflowPunct/>
        <w:topLinePunct w:val="0"/>
        <w:bidi w:val="0"/>
        <w:spacing w:line="576" w:lineRule="exact"/>
        <w:rPr>
          <w:rFonts w:ascii="仿宋" w:hAnsi="仿宋" w:eastAsia="仿宋"/>
          <w:b/>
          <w:bCs/>
          <w:color w:val="000000"/>
        </w:rPr>
      </w:pPr>
      <w:bookmarkStart w:id="75" w:name="_Toc15396630"/>
      <w:r>
        <w:rPr>
          <w:rStyle w:val="26"/>
          <w:rFonts w:hint="eastAsia" w:ascii="仿宋" w:hAnsi="仿宋" w:eastAsia="仿宋"/>
          <w:b/>
          <w:bCs/>
        </w:rPr>
        <w:t>十二、</w:t>
      </w:r>
      <w:r>
        <w:rPr>
          <w:rFonts w:hint="eastAsia" w:ascii="仿宋" w:hAnsi="仿宋" w:eastAsia="仿宋"/>
          <w:b/>
          <w:bCs/>
          <w:color w:val="000000"/>
        </w:rPr>
        <w:t>政</w:t>
      </w:r>
      <w:r>
        <w:rPr>
          <w:rStyle w:val="26"/>
          <w:rFonts w:hint="eastAsia" w:ascii="仿宋" w:hAnsi="仿宋" w:eastAsia="仿宋"/>
          <w:b/>
          <w:bCs/>
        </w:rPr>
        <w:t>府性基金预算财政拨款“三公”经费支出决算表</w:t>
      </w:r>
      <w:bookmarkEnd w:id="75"/>
    </w:p>
    <w:p>
      <w:pPr>
        <w:pStyle w:val="4"/>
        <w:pageBreakBefore w:val="0"/>
        <w:kinsoku/>
        <w:wordWrap/>
        <w:overflowPunct/>
        <w:topLinePunct w:val="0"/>
        <w:bidi w:val="0"/>
        <w:spacing w:line="576" w:lineRule="exact"/>
        <w:rPr>
          <w:rStyle w:val="26"/>
          <w:rFonts w:hint="eastAsia" w:ascii="仿宋" w:hAnsi="仿宋" w:eastAsia="仿宋"/>
          <w:b/>
          <w:bCs/>
        </w:rPr>
      </w:pPr>
      <w:bookmarkStart w:id="76" w:name="_Toc15396631"/>
      <w:r>
        <w:rPr>
          <w:rStyle w:val="26"/>
          <w:rFonts w:hint="eastAsia" w:ascii="仿宋" w:hAnsi="仿宋" w:eastAsia="仿宋"/>
          <w:b/>
          <w:bCs/>
        </w:rPr>
        <w:t>十三、</w:t>
      </w:r>
      <w:r>
        <w:rPr>
          <w:rFonts w:hint="eastAsia" w:ascii="仿宋" w:hAnsi="仿宋" w:eastAsia="仿宋"/>
          <w:b/>
          <w:bCs/>
          <w:color w:val="000000"/>
        </w:rPr>
        <w:t>国</w:t>
      </w:r>
      <w:r>
        <w:rPr>
          <w:rStyle w:val="26"/>
          <w:rFonts w:hint="eastAsia" w:ascii="仿宋" w:hAnsi="仿宋" w:eastAsia="仿宋"/>
          <w:b/>
          <w:bCs/>
        </w:rPr>
        <w:t>有资本经营预算</w:t>
      </w:r>
      <w:r>
        <w:rPr>
          <w:rStyle w:val="26"/>
          <w:rFonts w:hint="eastAsia" w:ascii="仿宋" w:hAnsi="仿宋" w:eastAsia="仿宋"/>
          <w:b/>
          <w:bCs/>
          <w:lang w:eastAsia="zh-CN"/>
        </w:rPr>
        <w:t>财政拨款收入</w:t>
      </w:r>
      <w:r>
        <w:rPr>
          <w:rStyle w:val="26"/>
          <w:rFonts w:hint="eastAsia" w:ascii="仿宋" w:hAnsi="仿宋" w:eastAsia="仿宋"/>
          <w:b/>
          <w:bCs/>
        </w:rPr>
        <w:t>支出决算表</w:t>
      </w:r>
    </w:p>
    <w:p>
      <w:pPr>
        <w:pStyle w:val="4"/>
        <w:pageBreakBefore w:val="0"/>
        <w:kinsoku/>
        <w:wordWrap/>
        <w:overflowPunct/>
        <w:topLinePunct w:val="0"/>
        <w:bidi w:val="0"/>
        <w:spacing w:line="576" w:lineRule="exact"/>
        <w:rPr>
          <w:rFonts w:ascii="仿宋" w:hAnsi="仿宋" w:eastAsia="仿宋"/>
          <w:b/>
          <w:bCs/>
          <w:color w:val="000000" w:themeColor="text1"/>
          <w14:textFill>
            <w14:solidFill>
              <w14:schemeClr w14:val="tx1"/>
            </w14:solidFill>
          </w14:textFill>
        </w:rPr>
      </w:pPr>
      <w:r>
        <w:rPr>
          <w:rStyle w:val="26"/>
          <w:rFonts w:hint="eastAsia" w:ascii="仿宋" w:hAnsi="仿宋" w:eastAsia="仿宋"/>
          <w:b/>
          <w:bCs/>
          <w:lang w:eastAsia="zh-CN"/>
        </w:rPr>
        <w:t>十四、</w:t>
      </w:r>
      <w:bookmarkEnd w:id="76"/>
      <w:r>
        <w:rPr>
          <w:rFonts w:hint="eastAsia" w:ascii="仿宋" w:hAnsi="仿宋" w:eastAsia="仿宋"/>
          <w:b/>
          <w:bCs/>
          <w:color w:val="000000"/>
        </w:rPr>
        <w:t>国</w:t>
      </w:r>
      <w:r>
        <w:rPr>
          <w:rStyle w:val="26"/>
          <w:rFonts w:hint="eastAsia" w:ascii="仿宋" w:hAnsi="仿宋" w:eastAsia="仿宋"/>
          <w:b/>
          <w:bCs/>
        </w:rPr>
        <w:t>有资本经营预算</w:t>
      </w:r>
      <w:r>
        <w:rPr>
          <w:rStyle w:val="26"/>
          <w:rFonts w:hint="eastAsia" w:ascii="仿宋" w:hAnsi="仿宋" w:eastAsia="仿宋"/>
          <w:b/>
          <w:bCs/>
          <w:lang w:eastAsia="zh-CN"/>
        </w:rPr>
        <w:t>财政拨款</w:t>
      </w:r>
      <w:r>
        <w:rPr>
          <w:rStyle w:val="26"/>
          <w:rFonts w:hint="eastAsia" w:ascii="仿宋" w:hAnsi="仿宋" w:eastAsia="仿宋"/>
          <w:b/>
          <w:bCs/>
        </w:rPr>
        <w:t>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00" w:usb3="00000000" w:csb0="00000000" w:csb1="00000000"/>
  </w:font>
  <w:font w:name="微软雅黑">
    <w:altName w:val="方正黑体_GBK"/>
    <w:panose1 w:val="020B0503020204020204"/>
    <w:charset w:val="86"/>
    <w:family w:val="swiss"/>
    <w:pitch w:val="variable"/>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9AE4B"/>
    <w:multiLevelType w:val="singleLevel"/>
    <w:tmpl w:val="A759AE4B"/>
    <w:lvl w:ilvl="0" w:tentative="0">
      <w:start w:val="1"/>
      <w:numFmt w:val="decimal"/>
      <w:lvlText w:val="%1."/>
      <w:lvlJc w:val="left"/>
      <w:pPr>
        <w:tabs>
          <w:tab w:val="left" w:pos="312"/>
        </w:tabs>
      </w:pPr>
    </w:lvl>
  </w:abstractNum>
  <w:abstractNum w:abstractNumId="1">
    <w:nsid w:val="D0C524B1"/>
    <w:multiLevelType w:val="singleLevel"/>
    <w:tmpl w:val="D0C524B1"/>
    <w:lvl w:ilvl="0" w:tentative="0">
      <w:start w:val="1"/>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E3F"/>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3F208F"/>
    <w:rsid w:val="03F82C12"/>
    <w:rsid w:val="04A74D9B"/>
    <w:rsid w:val="050C0A0A"/>
    <w:rsid w:val="091531D9"/>
    <w:rsid w:val="0B1A3079"/>
    <w:rsid w:val="0DA358C9"/>
    <w:rsid w:val="1046720F"/>
    <w:rsid w:val="10B91094"/>
    <w:rsid w:val="10C055FF"/>
    <w:rsid w:val="12173A56"/>
    <w:rsid w:val="12727F67"/>
    <w:rsid w:val="128B6CD1"/>
    <w:rsid w:val="12E63B6D"/>
    <w:rsid w:val="131D0E03"/>
    <w:rsid w:val="14AB2FD4"/>
    <w:rsid w:val="14FF7D2F"/>
    <w:rsid w:val="16BB723D"/>
    <w:rsid w:val="16EC5E49"/>
    <w:rsid w:val="17CD3AF8"/>
    <w:rsid w:val="1BD67879"/>
    <w:rsid w:val="1CBF0385"/>
    <w:rsid w:val="1E7C2DF8"/>
    <w:rsid w:val="22246E99"/>
    <w:rsid w:val="240371BF"/>
    <w:rsid w:val="24D81375"/>
    <w:rsid w:val="26EC185D"/>
    <w:rsid w:val="27712033"/>
    <w:rsid w:val="27B975F6"/>
    <w:rsid w:val="27CD25D5"/>
    <w:rsid w:val="28533213"/>
    <w:rsid w:val="289D0BD7"/>
    <w:rsid w:val="299D4D4A"/>
    <w:rsid w:val="29FD04D3"/>
    <w:rsid w:val="2B712407"/>
    <w:rsid w:val="2F3A1BBE"/>
    <w:rsid w:val="319F7F4E"/>
    <w:rsid w:val="32596B40"/>
    <w:rsid w:val="331D3CFC"/>
    <w:rsid w:val="390B40E3"/>
    <w:rsid w:val="3DAD5BE1"/>
    <w:rsid w:val="3DDE60DE"/>
    <w:rsid w:val="3E084649"/>
    <w:rsid w:val="3E783442"/>
    <w:rsid w:val="3EBF9030"/>
    <w:rsid w:val="3FB78897"/>
    <w:rsid w:val="40D8663D"/>
    <w:rsid w:val="41394050"/>
    <w:rsid w:val="417C7436"/>
    <w:rsid w:val="418B6DF4"/>
    <w:rsid w:val="41B51152"/>
    <w:rsid w:val="445E528A"/>
    <w:rsid w:val="455659C8"/>
    <w:rsid w:val="4CE72788"/>
    <w:rsid w:val="4D7342A7"/>
    <w:rsid w:val="4D8C6623"/>
    <w:rsid w:val="4E116785"/>
    <w:rsid w:val="4EBE6693"/>
    <w:rsid w:val="4ECE2238"/>
    <w:rsid w:val="4F630F70"/>
    <w:rsid w:val="516932F0"/>
    <w:rsid w:val="5A281220"/>
    <w:rsid w:val="5A4C6D93"/>
    <w:rsid w:val="5C7219FE"/>
    <w:rsid w:val="5C7D023A"/>
    <w:rsid w:val="5CD5467C"/>
    <w:rsid w:val="5D1C0B9F"/>
    <w:rsid w:val="60745CF1"/>
    <w:rsid w:val="62735295"/>
    <w:rsid w:val="62B3284B"/>
    <w:rsid w:val="62E23518"/>
    <w:rsid w:val="63E94269"/>
    <w:rsid w:val="64305BF0"/>
    <w:rsid w:val="648D1287"/>
    <w:rsid w:val="64B93428"/>
    <w:rsid w:val="64D90ED0"/>
    <w:rsid w:val="666D4220"/>
    <w:rsid w:val="673776DB"/>
    <w:rsid w:val="6A680E1C"/>
    <w:rsid w:val="6ABF4C3E"/>
    <w:rsid w:val="6CE9DDFF"/>
    <w:rsid w:val="6F490248"/>
    <w:rsid w:val="709D5167"/>
    <w:rsid w:val="72734D90"/>
    <w:rsid w:val="73AD745E"/>
    <w:rsid w:val="74AD4DA0"/>
    <w:rsid w:val="75ADA3EA"/>
    <w:rsid w:val="78ED5324"/>
    <w:rsid w:val="7AD135C4"/>
    <w:rsid w:val="7B1FEE89"/>
    <w:rsid w:val="7FCF28E8"/>
    <w:rsid w:val="BFEDB3F9"/>
    <w:rsid w:val="FE7B88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link w:val="3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目录 2 Char"/>
    <w:link w:val="11"/>
    <w:qFormat/>
    <w:uiPriority w:val="3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WWW\Desktop\&#26376;&#24230;&#25910;&#25903;&#20998;&#26512;&#26609;&#29366;&#2227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WWW\Desktop\&#26376;&#24230;&#25910;&#25903;&#20998;&#26512;&#26609;&#29366;&#22270;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oleObject" Target="file:///C:\Users\WWW\Desktop\&#26376;&#24230;&#25910;&#25903;&#20998;&#26512;&#26609;&#29366;&#2227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WW\Desktop\&#26376;&#24230;&#25910;&#25903;&#20998;&#26512;&#26609;&#29366;&#2227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WWW\Desktop\&#26376;&#24230;&#25910;&#25903;&#20998;&#26512;&#26609;&#29366;&#22270;1.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file:///C:\Users\WWW\Desktop\&#26376;&#24230;&#25910;&#25903;&#20998;&#26512;&#26609;&#29366;&#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r>
              <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收、支决算总计</a:t>
            </a:r>
            <a:r>
              <a:rPr sz="1400">
                <a:solidFill>
                  <a:schemeClr val="tx1"/>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变动</a:t>
            </a:r>
            <a:r>
              <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情况图</a:t>
            </a:r>
            <a:endPar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0"/>
            <c:invertIfNegative val="false"/>
            <c:bubble3D val="false"/>
          </c:dPt>
          <c:dPt>
            <c:idx val="1"/>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581.41</c:v>
                </c:pt>
                <c:pt idx="1">
                  <c:v>525.5</c:v>
                </c:pt>
              </c:numCache>
            </c:numRef>
          </c:val>
        </c:ser>
        <c:dLbls>
          <c:showLegendKey val="false"/>
          <c:showVal val="true"/>
          <c:showCatName val="false"/>
          <c:showSerName val="false"/>
          <c:showPercent val="false"/>
          <c:showBubbleSize val="false"/>
        </c:dLbls>
        <c:gapWidth val="219"/>
        <c:overlap val="-27"/>
        <c:axId val="517324296"/>
        <c:axId val="517324952"/>
      </c:barChart>
      <c:catAx>
        <c:axId val="51732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true"/>
        <c:lblAlgn val="ctr"/>
        <c:lblOffset val="100"/>
        <c:noMultiLvlLbl val="false"/>
      </c:catAx>
      <c:valAx>
        <c:axId val="517324952"/>
        <c:scaling>
          <c:orientation val="minMax"/>
          <c:max val="700"/>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2160" b="0" i="0" u="none" strike="noStrike" kern="1200" spc="0" baseline="0">
                <a:solidFill>
                  <a:schemeClr val="tx1">
                    <a:lumMod val="65000"/>
                    <a:lumOff val="35000"/>
                  </a:schemeClr>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r>
              <a:rPr sz="216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收入决算结构图</a:t>
            </a:r>
            <a:endParaRPr sz="216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c:explosion val="0"/>
          <c:dPt>
            <c:idx val="0"/>
            <c:bubble3D val="false"/>
            <c:spPr>
              <a:solidFill>
                <a:schemeClr val="accent1"/>
              </a:solidFill>
              <a:ln w="19050">
                <a:solidFill>
                  <a:schemeClr val="lt1"/>
                </a:solidFill>
              </a:ln>
              <a:effectLst/>
            </c:spPr>
          </c:dPt>
          <c:dLbls>
            <c:dLbl>
              <c:idx val="0"/>
              <c:layout>
                <c:manualLayout>
                  <c:x val="-2.77858848599163e-7"/>
                  <c:y val="-0.21695031493112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800" b="0" i="0" u="none" strike="noStrike" kern="1200" baseline="0">
                    <a:solidFill>
                      <a:schemeClr val="tx1">
                        <a:lumMod val="75000"/>
                        <a:lumOff val="25000"/>
                      </a:schemeClr>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[月度收支分析柱状图1.xlsx]Sheet1!$O$25</c:f>
              <c:numCache>
                <c:formatCode>0%</c:formatCode>
                <c:ptCount val="1"/>
                <c:pt idx="0">
                  <c:v>1</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8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a:latin typeface="方正小标宋简体" panose="02010601030101010101" pitchFamily="4" charset="-122"/>
                <a:ea typeface="方正小标宋简体" panose="02010601030101010101" pitchFamily="4" charset="-122"/>
              </a:rPr>
              <a:t>支出决算结构图</a:t>
            </a:r>
            <a:endParaRPr>
              <a:latin typeface="方正小标宋简体" panose="02010601030101010101" pitchFamily="4" charset="-122"/>
              <a:ea typeface="方正小标宋简体" panose="02010601030101010101" pitchFamily="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a:solidFill>
              <a:srgbClr val="ED7D31"/>
            </a:solidFill>
            <a:ln w="31750">
              <a:solidFill>
                <a:schemeClr val="bg1">
                  <a:alpha val="42000"/>
                </a:schemeClr>
              </a:solidFill>
            </a:ln>
          </c:spPr>
          <c:explosion val="0"/>
          <c:dPt>
            <c:idx val="0"/>
            <c:bubble3D val="false"/>
            <c:spPr>
              <a:solidFill>
                <a:srgbClr val="4472C4"/>
              </a:solidFill>
              <a:ln w="31750">
                <a:solidFill>
                  <a:schemeClr val="bg1">
                    <a:alpha val="42000"/>
                  </a:schemeClr>
                </a:solidFill>
              </a:ln>
              <a:effectLst/>
            </c:spPr>
          </c:dPt>
          <c:dPt>
            <c:idx val="1"/>
            <c:bubble3D val="false"/>
            <c:spPr>
              <a:solidFill>
                <a:srgbClr val="ED7D31"/>
              </a:solidFill>
              <a:ln w="31750">
                <a:solidFill>
                  <a:schemeClr val="bg1">
                    <a:alpha val="42000"/>
                  </a:schemeClr>
                </a:solidFill>
              </a:ln>
              <a:effectLst/>
            </c:spPr>
          </c:dPt>
          <c:dLbls>
            <c:dLbl>
              <c:idx val="0"/>
              <c:layout>
                <c:manualLayout>
                  <c:x val="-0.0673515828342983"/>
                  <c:y val="-0.23797399500378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47198690047117"/>
                  <c:y val="0.18432206041452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14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[月度收支分析柱状图1.xlsx]Sheet1!$O$25:$O$26</c:f>
              <c:strCache>
                <c:ptCount val="2"/>
                <c:pt idx="0" c:formatCode="0%">
                  <c:v>基本支出</c:v>
                </c:pt>
                <c:pt idx="1">
                  <c:v>项目支出</c:v>
                </c:pt>
              </c:strCache>
            </c:strRef>
          </c:cat>
          <c:val>
            <c:numRef>
              <c:f>[月度收支分析柱状图1.xlsx]Sheet1!$P$25:$P$26</c:f>
              <c:numCache>
                <c:formatCode>General</c:formatCode>
                <c:ptCount val="2"/>
                <c:pt idx="0">
                  <c:v>454.47</c:v>
                </c:pt>
                <c:pt idx="1">
                  <c:v>66.21</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t" anchorCtr="fals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r>
              <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财政拨款收、支决算总计变动情况</a:t>
            </a:r>
            <a:endPar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0"/>
            <c:invertIfNegative val="false"/>
            <c:bubble3D val="false"/>
          </c:dPt>
          <c:dPt>
            <c:idx val="1"/>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581.41</c:v>
                </c:pt>
                <c:pt idx="1">
                  <c:v>525.5</c:v>
                </c:pt>
              </c:numCache>
            </c:numRef>
          </c:val>
        </c:ser>
        <c:dLbls>
          <c:showLegendKey val="false"/>
          <c:showVal val="true"/>
          <c:showCatName val="false"/>
          <c:showSerName val="false"/>
          <c:showPercent val="false"/>
          <c:showBubbleSize val="false"/>
        </c:dLbls>
        <c:gapWidth val="219"/>
        <c:overlap val="-27"/>
        <c:axId val="517324296"/>
        <c:axId val="517324952"/>
      </c:barChart>
      <c:catAx>
        <c:axId val="51732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true"/>
        <c:lblAlgn val="ctr"/>
        <c:lblOffset val="100"/>
        <c:noMultiLvlLbl val="false"/>
      </c:catAx>
      <c:valAx>
        <c:axId val="517324952"/>
        <c:scaling>
          <c:orientation val="minMax"/>
          <c:max val="700"/>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r>
              <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一般公共预算财政拨款支出决算变动情况</a:t>
            </a:r>
            <a:endParaRPr sz="1400">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0"/>
            <c:invertIfNegative val="false"/>
            <c:bubble3D val="false"/>
          </c:dPt>
          <c:dPt>
            <c:idx val="1"/>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429.04</c:v>
                </c:pt>
                <c:pt idx="1">
                  <c:v>520.68</c:v>
                </c:pt>
              </c:numCache>
            </c:numRef>
          </c:val>
        </c:ser>
        <c:dLbls>
          <c:showLegendKey val="false"/>
          <c:showVal val="true"/>
          <c:showCatName val="false"/>
          <c:showSerName val="false"/>
          <c:showPercent val="false"/>
          <c:showBubbleSize val="false"/>
        </c:dLbls>
        <c:gapWidth val="219"/>
        <c:overlap val="-27"/>
        <c:axId val="517324296"/>
        <c:axId val="517324952"/>
      </c:barChart>
      <c:catAx>
        <c:axId val="51732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true"/>
        <c:lblAlgn val="ctr"/>
        <c:lblOffset val="100"/>
        <c:noMultiLvlLbl val="false"/>
      </c:catAx>
      <c:valAx>
        <c:axId val="517324952"/>
        <c:scaling>
          <c:orientation val="minMax"/>
          <c:max val="700"/>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lumMod val="65000"/>
                    <a:lumOff val="35000"/>
                  </a:schemeClr>
                </a:solidFill>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defRPr>
            </a:pPr>
            <a:r>
              <a:rPr>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rPr>
              <a:t>一般公共预算财政拨款支出决算结构</a:t>
            </a:r>
            <a:endParaRPr>
              <a:latin typeface="方正小标宋简体" panose="02010601030101010101" pitchFamily="4" charset="-122"/>
              <a:ea typeface="方正小标宋简体" panose="02010601030101010101" pitchFamily="4" charset="-122"/>
              <a:cs typeface="方正小标宋简体" panose="02010601030101010101" pitchFamily="4" charset="-122"/>
              <a:sym typeface="方正小标宋简体" panose="02010601030101010101" pitchFamily="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a:solidFill>
              <a:srgbClr val="859949"/>
            </a:solidFill>
            <a:ln w="31750">
              <a:solidFill>
                <a:schemeClr val="bg1">
                  <a:alpha val="42000"/>
                </a:schemeClr>
              </a:solidFill>
            </a:ln>
          </c:spPr>
          <c:explosion val="0"/>
          <c:dPt>
            <c:idx val="0"/>
            <c:bubble3D val="false"/>
            <c:spPr>
              <a:solidFill>
                <a:srgbClr val="4472C4"/>
              </a:solidFill>
              <a:ln w="31750">
                <a:solidFill>
                  <a:schemeClr val="bg1">
                    <a:alpha val="42000"/>
                  </a:schemeClr>
                </a:solidFill>
              </a:ln>
              <a:effectLst/>
            </c:spPr>
          </c:dPt>
          <c:dPt>
            <c:idx val="1"/>
            <c:bubble3D val="false"/>
            <c:spPr>
              <a:solidFill>
                <a:srgbClr val="70AD47">
                  <a:lumMod val="75000"/>
                </a:srgbClr>
              </a:solidFill>
              <a:ln w="31750">
                <a:solidFill>
                  <a:schemeClr val="bg1">
                    <a:alpha val="42000"/>
                  </a:schemeClr>
                </a:solidFill>
              </a:ln>
              <a:effectLst/>
            </c:spPr>
          </c:dPt>
          <c:dPt>
            <c:idx val="2"/>
            <c:bubble3D val="false"/>
            <c:spPr>
              <a:gradFill>
                <a:gsLst>
                  <a:gs pos="0">
                    <a:srgbClr val="FE4444"/>
                  </a:gs>
                  <a:gs pos="100000">
                    <a:srgbClr val="832B2B"/>
                  </a:gs>
                </a:gsLst>
                <a:lin ang="5400000" scaled="false"/>
              </a:gradFill>
              <a:ln w="31750">
                <a:solidFill>
                  <a:schemeClr val="bg1">
                    <a:alpha val="42000"/>
                  </a:schemeClr>
                </a:solidFill>
              </a:ln>
              <a:effectLst/>
            </c:spPr>
          </c:dPt>
          <c:dPt>
            <c:idx val="3"/>
            <c:bubble3D val="false"/>
            <c:spPr>
              <a:solidFill>
                <a:srgbClr val="FFC000"/>
              </a:solidFill>
              <a:ln w="31750">
                <a:solidFill>
                  <a:schemeClr val="bg1">
                    <a:alpha val="42000"/>
                  </a:schemeClr>
                </a:solidFill>
              </a:ln>
              <a:effectLst/>
            </c:spPr>
          </c:dPt>
          <c:dLbls>
            <c:dLbl>
              <c:idx val="0"/>
              <c:layout>
                <c:manualLayout>
                  <c:x val="-0.0667162421706349"/>
                  <c:y val="-0.2095202959450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[月度收支分析柱状图1.xlsx]Sheet1!$O$25:$O$28</c:f>
              <c:numCache>
                <c:ptCount val="0"/>
              </c:numCache>
            </c:numRef>
          </c:cat>
          <c:val>
            <c:numRef>
              <c:f>[月度收支分析柱状图1.xlsx]Sheet1!$P$25:$P$28</c:f>
              <c:numCache>
                <c:formatCode>General</c:formatCode>
                <c:ptCount val="4"/>
                <c:pt idx="0">
                  <c:v>454.64</c:v>
                </c:pt>
                <c:pt idx="1">
                  <c:v>27.02</c:v>
                </c:pt>
                <c:pt idx="2">
                  <c:v>11.43</c:v>
                </c:pt>
                <c:pt idx="3">
                  <c:v>25.99</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legend>
      <c:legendPos val="tr"/>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45</Pages>
  <Words>14978</Words>
  <Characters>15934</Characters>
  <Lines>7</Lines>
  <Paragraphs>17</Paragraphs>
  <TotalTime>6</TotalTime>
  <ScaleCrop>false</ScaleCrop>
  <LinksUpToDate>false</LinksUpToDate>
  <CharactersWithSpaces>18718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曹颖</dc:creator>
  <cp:lastModifiedBy>uos</cp:lastModifiedBy>
  <cp:lastPrinted>2009-03-17T00:44:00Z</cp:lastPrinted>
  <dcterms:modified xsi:type="dcterms:W3CDTF">2022-09-02T09:35:45Z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5E3AA354390A461C8EEDA984D21E299D</vt:lpwstr>
  </property>
</Properties>
</file>