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b/>
          <w:bCs/>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b/>
          <w:bCs/>
          <w:color w:val="auto"/>
          <w:sz w:val="72"/>
          <w:szCs w:val="72"/>
          <w:highlight w:val="none"/>
        </w:rPr>
      </w:pPr>
    </w:p>
    <w:p>
      <w:pPr>
        <w:spacing w:line="600" w:lineRule="exact"/>
        <w:jc w:val="center"/>
        <w:outlineLvl w:val="0"/>
        <w:rPr>
          <w:rFonts w:ascii="方正小标宋简体" w:hAnsi="宋体" w:eastAsia="方正小标宋简体"/>
          <w:b/>
          <w:bCs/>
          <w:color w:val="auto"/>
          <w:sz w:val="72"/>
          <w:szCs w:val="72"/>
          <w:highlight w:val="none"/>
        </w:rPr>
      </w:pPr>
    </w:p>
    <w:p>
      <w:pPr>
        <w:spacing w:line="600" w:lineRule="exact"/>
        <w:jc w:val="center"/>
        <w:outlineLvl w:val="0"/>
        <w:rPr>
          <w:rFonts w:ascii="方正小标宋简体" w:hAnsi="宋体" w:eastAsia="方正小标宋简体"/>
          <w:b/>
          <w:bCs/>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b/>
          <w:bCs/>
          <w:color w:val="auto"/>
          <w:sz w:val="72"/>
          <w:szCs w:val="72"/>
          <w:highlight w:val="none"/>
        </w:rPr>
      </w:pPr>
      <w:bookmarkStart w:id="1" w:name="_Toc15377193"/>
      <w:bookmarkStart w:id="2" w:name="_Toc15396597"/>
      <w:bookmarkStart w:id="3" w:name="_Toc15378441"/>
      <w:bookmarkStart w:id="4" w:name="_Toc15377425"/>
      <w:bookmarkStart w:id="5" w:name="_Toc15396475"/>
      <w:r>
        <w:rPr>
          <w:rFonts w:hint="eastAsia" w:ascii="方正小标宋简体" w:hAnsi="方正小标宋简体" w:eastAsia="方正小标宋简体" w:cs="方正小标宋简体"/>
          <w:b/>
          <w:bCs/>
          <w:color w:val="auto"/>
          <w:sz w:val="72"/>
          <w:szCs w:val="72"/>
          <w:highlight w:val="none"/>
        </w:rPr>
        <w:t>20</w:t>
      </w:r>
      <w:r>
        <w:rPr>
          <w:rFonts w:hint="eastAsia" w:ascii="方正小标宋简体" w:hAnsi="方正小标宋简体" w:eastAsia="方正小标宋简体" w:cs="方正小标宋简体"/>
          <w:b/>
          <w:bCs/>
          <w:color w:val="auto"/>
          <w:sz w:val="72"/>
          <w:szCs w:val="72"/>
          <w:highlight w:val="none"/>
          <w:lang w:val="en-US" w:eastAsia="zh-CN"/>
        </w:rPr>
        <w:t>21</w:t>
      </w:r>
      <w:r>
        <w:rPr>
          <w:rFonts w:hint="eastAsia" w:ascii="方正小标宋简体" w:hAnsi="方正小标宋简体" w:eastAsia="方正小标宋简体" w:cs="方正小标宋简体"/>
          <w:b/>
          <w:bCs/>
          <w:color w:val="auto"/>
          <w:sz w:val="72"/>
          <w:szCs w:val="72"/>
          <w:highlight w:val="none"/>
        </w:rPr>
        <w:t>年度</w:t>
      </w:r>
      <w:bookmarkEnd w:id="1"/>
      <w:bookmarkEnd w:id="2"/>
      <w:bookmarkEnd w:id="3"/>
      <w:bookmarkEnd w:id="4"/>
      <w:bookmarkEnd w:id="5"/>
    </w:p>
    <w:bookmarkEnd w:id="0"/>
    <w:p>
      <w:pPr>
        <w:adjustRightInd w:val="0"/>
        <w:snapToGrid w:val="0"/>
        <w:spacing w:line="360" w:lineRule="auto"/>
        <w:jc w:val="center"/>
        <w:outlineLvl w:val="0"/>
        <w:rPr>
          <w:rFonts w:hint="eastAsia" w:ascii="方正小标宋简体" w:hAnsi="方正小标宋简体" w:eastAsia="方正小标宋简体" w:cs="方正小标宋简体"/>
          <w:b/>
          <w:bCs/>
          <w:color w:val="auto"/>
          <w:sz w:val="72"/>
          <w:szCs w:val="72"/>
          <w:highlight w:val="none"/>
        </w:rPr>
      </w:pPr>
      <w:bookmarkStart w:id="6" w:name="_Toc15378442"/>
      <w:bookmarkStart w:id="7" w:name="_Toc15306268"/>
      <w:bookmarkStart w:id="8" w:name="_Toc15377426"/>
      <w:bookmarkStart w:id="9" w:name="_Toc15396598"/>
      <w:bookmarkStart w:id="10" w:name="_Toc15396476"/>
      <w:bookmarkStart w:id="11" w:name="_Toc15377194"/>
      <w:r>
        <w:rPr>
          <w:rFonts w:hint="eastAsia" w:ascii="方正小标宋简体" w:hAnsi="方正小标宋简体" w:eastAsia="方正小标宋简体" w:cs="方正小标宋简体"/>
          <w:b/>
          <w:bCs/>
          <w:color w:val="auto"/>
          <w:sz w:val="72"/>
          <w:szCs w:val="72"/>
          <w:highlight w:val="none"/>
          <w:lang w:val="en-US" w:eastAsia="zh-CN"/>
        </w:rPr>
        <w:t>中共广元市委群众工作局</w:t>
      </w:r>
      <w:r>
        <w:rPr>
          <w:rFonts w:hint="eastAsia" w:ascii="方正小标宋简体" w:hAnsi="方正小标宋简体" w:eastAsia="方正小标宋简体" w:cs="方正小标宋简体"/>
          <w:b/>
          <w:bCs/>
          <w:color w:val="auto"/>
          <w:sz w:val="72"/>
          <w:szCs w:val="72"/>
          <w:highlight w:val="none"/>
          <w:lang w:eastAsia="zh-CN"/>
        </w:rPr>
        <w:t>单位</w:t>
      </w:r>
      <w:r>
        <w:rPr>
          <w:rFonts w:hint="eastAsia" w:ascii="方正小标宋简体" w:hAnsi="方正小标宋简体" w:eastAsia="方正小标宋简体" w:cs="方正小标宋简体"/>
          <w:b/>
          <w:bCs/>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b/>
          <w:bCs/>
          <w:color w:val="auto"/>
          <w:sz w:val="48"/>
          <w:szCs w:val="48"/>
          <w:highlight w:val="none"/>
        </w:rPr>
      </w:pPr>
      <w:r>
        <w:rPr>
          <w:rFonts w:ascii="方正小标宋简体" w:hAnsi="宋体" w:eastAsia="方正小标宋简体"/>
          <w:b/>
          <w:bCs/>
          <w:color w:val="auto"/>
          <w:sz w:val="36"/>
          <w:szCs w:val="36"/>
          <w:highlight w:val="none"/>
        </w:rPr>
        <w:br w:type="page"/>
      </w:r>
      <w:r>
        <w:rPr>
          <w:rFonts w:hint="eastAsia" w:ascii="黑体" w:hAnsi="黑体" w:eastAsia="黑体"/>
          <w:b/>
          <w:bCs/>
          <w:color w:val="auto"/>
          <w:sz w:val="48"/>
          <w:szCs w:val="48"/>
          <w:highlight w:val="none"/>
        </w:rPr>
        <w:t>目录</w:t>
      </w:r>
    </w:p>
    <w:p>
      <w:pPr>
        <w:widowControl/>
        <w:jc w:val="center"/>
        <w:rPr>
          <w:rFonts w:ascii="黑体" w:hAnsi="黑体" w:eastAsia="黑体" w:cstheme="minorBidi"/>
          <w:b/>
          <w:bCs/>
          <w:color w:val="auto"/>
          <w:sz w:val="28"/>
          <w:szCs w:val="28"/>
          <w:highlight w:val="none"/>
        </w:rPr>
      </w:pPr>
    </w:p>
    <w:p>
      <w:pPr>
        <w:pStyle w:val="10"/>
        <w:rPr>
          <w:b/>
          <w:bCs/>
          <w:color w:val="auto"/>
          <w:highlight w:val="none"/>
        </w:rPr>
      </w:pPr>
      <w:r>
        <w:rPr>
          <w:rFonts w:hint="eastAsia"/>
          <w:b/>
          <w:bCs/>
          <w:color w:val="auto"/>
          <w:highlight w:val="none"/>
        </w:rPr>
        <w:t>公开时间：20</w:t>
      </w:r>
      <w:r>
        <w:rPr>
          <w:rFonts w:hint="eastAsia"/>
          <w:b/>
          <w:bCs/>
          <w:color w:val="auto"/>
          <w:highlight w:val="none"/>
          <w:lang w:val="en-US" w:eastAsia="zh-CN"/>
        </w:rPr>
        <w:t>22</w:t>
      </w:r>
      <w:r>
        <w:rPr>
          <w:rFonts w:hint="eastAsia"/>
          <w:b/>
          <w:bCs/>
          <w:color w:val="auto"/>
          <w:highlight w:val="none"/>
        </w:rPr>
        <w:t>年</w:t>
      </w:r>
      <w:r>
        <w:rPr>
          <w:rFonts w:hint="eastAsia"/>
          <w:b/>
          <w:bCs/>
          <w:color w:val="auto"/>
          <w:highlight w:val="none"/>
          <w:lang w:val="en-US" w:eastAsia="zh-CN"/>
        </w:rPr>
        <w:t>9</w:t>
      </w:r>
      <w:r>
        <w:rPr>
          <w:rFonts w:hint="eastAsia"/>
          <w:b/>
          <w:bCs/>
          <w:color w:val="auto"/>
          <w:highlight w:val="none"/>
        </w:rPr>
        <w:t>月</w:t>
      </w:r>
      <w:r>
        <w:rPr>
          <w:rFonts w:hint="eastAsia"/>
          <w:b/>
          <w:bCs/>
          <w:color w:val="auto"/>
          <w:highlight w:val="none"/>
          <w:lang w:val="en-US" w:eastAsia="zh-CN"/>
        </w:rPr>
        <w:t>22</w:t>
      </w:r>
      <w:r>
        <w:rPr>
          <w:rFonts w:hint="eastAsia"/>
          <w:b/>
          <w:bCs/>
          <w:color w:val="auto"/>
          <w:highlight w:val="none"/>
        </w:rPr>
        <w:t>日</w:t>
      </w:r>
    </w:p>
    <w:p>
      <w:pPr>
        <w:rPr>
          <w:b/>
          <w:bCs/>
          <w:color w:val="auto"/>
          <w:highlight w:val="none"/>
        </w:rPr>
      </w:pPr>
    </w:p>
    <w:p>
      <w:pPr>
        <w:pStyle w:val="10"/>
        <w:adjustRightInd w:val="0"/>
        <w:snapToGrid w:val="0"/>
        <w:spacing w:before="0" w:line="440" w:lineRule="exact"/>
        <w:jc w:val="left"/>
        <w:rPr>
          <w:rFonts w:hint="default" w:cstheme="minorBidi"/>
          <w:b/>
          <w:bCs/>
          <w:color w:val="auto"/>
          <w:sz w:val="24"/>
          <w:szCs w:val="24"/>
          <w:highlight w:val="none"/>
          <w:lang w:val="en-US"/>
        </w:rPr>
      </w:pPr>
      <w:r>
        <w:rPr>
          <w:rFonts w:hint="eastAsia"/>
          <w:b/>
          <w:bCs/>
          <w:color w:val="auto"/>
          <w:sz w:val="24"/>
          <w:highlight w:val="none"/>
        </w:rPr>
        <w:t>第一部分</w:t>
      </w:r>
      <w:r>
        <w:rPr>
          <w:b/>
          <w:bCs/>
          <w:color w:val="auto"/>
          <w:sz w:val="24"/>
          <w:highlight w:val="none"/>
        </w:rPr>
        <w:t xml:space="preserve"> </w:t>
      </w:r>
      <w:r>
        <w:rPr>
          <w:rFonts w:hint="eastAsia"/>
          <w:b/>
          <w:bCs/>
          <w:color w:val="auto"/>
          <w:sz w:val="24"/>
          <w:highlight w:val="none"/>
          <w:lang w:eastAsia="zh-CN"/>
        </w:rPr>
        <w:t>单位</w:t>
      </w:r>
      <w:r>
        <w:rPr>
          <w:rFonts w:hint="eastAsia"/>
          <w:b/>
          <w:bCs/>
          <w:color w:val="auto"/>
          <w:sz w:val="24"/>
          <w:highlight w:val="none"/>
        </w:rPr>
        <w:t>概况</w:t>
      </w:r>
      <w:r>
        <w:rPr>
          <w:rStyle w:val="25"/>
          <w:rFonts w:hint="eastAsia" w:ascii="仿宋" w:hAnsi="仿宋" w:eastAsia="仿宋"/>
          <w:b/>
          <w:bCs/>
          <w:lang w:val="en-US" w:eastAsia="zh-CN" w:bidi="ar-SA"/>
        </w:rPr>
        <w:tab/>
      </w:r>
      <w:r>
        <w:rPr>
          <w:rStyle w:val="25"/>
          <w:rFonts w:hint="eastAsia"/>
          <w:b/>
          <w:bCs/>
          <w:lang w:val="en-US" w:eastAsia="zh-CN" w:bidi="ar-SA"/>
        </w:rPr>
        <w:t>4</w:t>
      </w:r>
    </w:p>
    <w:p>
      <w:pPr>
        <w:pStyle w:val="11"/>
        <w:adjustRightInd w:val="0"/>
        <w:snapToGrid w:val="0"/>
        <w:spacing w:line="440" w:lineRule="exact"/>
        <w:jc w:val="left"/>
        <w:rPr>
          <w:rFonts w:hint="default" w:eastAsia="宋体"/>
          <w:b/>
          <w:bCs/>
          <w:color w:val="auto"/>
          <w:sz w:val="24"/>
          <w:highlight w:val="none"/>
          <w:lang w:val="en-US" w:eastAsia="zh-CN"/>
        </w:rPr>
      </w:pPr>
      <w:r>
        <w:rPr>
          <w:rFonts w:hint="eastAsia"/>
          <w:b/>
          <w:bCs/>
          <w:color w:val="auto"/>
          <w:sz w:val="24"/>
          <w:highlight w:val="none"/>
        </w:rPr>
        <w:t>一、职能</w:t>
      </w:r>
      <w:r>
        <w:rPr>
          <w:rFonts w:hint="eastAsia"/>
          <w:b/>
          <w:bCs/>
          <w:color w:val="auto"/>
          <w:sz w:val="24"/>
          <w:highlight w:val="none"/>
          <w:lang w:eastAsia="zh-CN"/>
        </w:rPr>
        <w:t>简介</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w:t>
      </w:r>
    </w:p>
    <w:p>
      <w:pPr>
        <w:pStyle w:val="11"/>
        <w:adjustRightInd w:val="0"/>
        <w:snapToGrid w:val="0"/>
        <w:spacing w:line="440" w:lineRule="exact"/>
        <w:jc w:val="left"/>
        <w:rPr>
          <w:rFonts w:hint="default" w:asciiTheme="minorEastAsia" w:hAnsiTheme="minorEastAsia" w:eastAsiaTheme="minorEastAsia" w:cstheme="minorEastAsia"/>
          <w:b/>
          <w:bCs/>
          <w:color w:val="auto"/>
          <w:sz w:val="24"/>
          <w:highlight w:val="none"/>
          <w:lang w:val="en-US" w:eastAsia="zh-CN"/>
        </w:rPr>
      </w:pPr>
      <w:r>
        <w:rPr>
          <w:rFonts w:hint="eastAsia" w:asciiTheme="minorEastAsia" w:hAnsiTheme="minorEastAsia" w:eastAsiaTheme="minorEastAsia" w:cstheme="minorEastAsia"/>
          <w:b/>
          <w:bCs/>
          <w:color w:val="auto"/>
          <w:sz w:val="24"/>
          <w:highlight w:val="none"/>
          <w:lang w:eastAsia="zh-CN"/>
        </w:rPr>
        <w:t>二、</w:t>
      </w:r>
      <w:r>
        <w:rPr>
          <w:rFonts w:hint="eastAsia" w:asciiTheme="minorEastAsia" w:hAnsiTheme="minorEastAsia" w:eastAsiaTheme="minorEastAsia" w:cstheme="minorEastAsia"/>
          <w:b/>
          <w:bCs/>
          <w:color w:val="auto"/>
          <w:sz w:val="24"/>
          <w:highlight w:val="none"/>
          <w:lang w:val="en-US" w:eastAsia="zh-CN"/>
        </w:rPr>
        <w:t>2021年重点</w:t>
      </w:r>
      <w:r>
        <w:rPr>
          <w:rFonts w:hint="eastAsia" w:asciiTheme="minorEastAsia" w:hAnsiTheme="minorEastAsia" w:eastAsiaTheme="minorEastAsia" w:cstheme="minorEastAsia"/>
          <w:b/>
          <w:bCs/>
          <w:color w:val="auto"/>
          <w:sz w:val="24"/>
          <w:highlight w:val="none"/>
        </w:rPr>
        <w:t>工作</w:t>
      </w:r>
      <w:r>
        <w:rPr>
          <w:rFonts w:hint="eastAsia" w:asciiTheme="minorEastAsia" w:hAnsiTheme="minorEastAsia" w:eastAsiaTheme="minorEastAsia" w:cstheme="minorEastAsia"/>
          <w:b/>
          <w:bCs/>
          <w:color w:val="auto"/>
          <w:sz w:val="24"/>
          <w:highlight w:val="none"/>
          <w:lang w:eastAsia="zh-CN"/>
        </w:rPr>
        <w:t>完成情况</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5</w:t>
      </w:r>
    </w:p>
    <w:p>
      <w:pPr>
        <w:pStyle w:val="10"/>
        <w:adjustRightInd w:val="0"/>
        <w:snapToGrid w:val="0"/>
        <w:spacing w:before="0" w:line="440" w:lineRule="exact"/>
        <w:jc w:val="left"/>
        <w:rPr>
          <w:rFonts w:hint="default"/>
          <w:b/>
          <w:bCs/>
          <w:color w:val="auto"/>
          <w:sz w:val="24"/>
          <w:szCs w:val="24"/>
          <w:highlight w:val="none"/>
          <w:lang w:val="en-US"/>
        </w:rPr>
      </w:pPr>
      <w:r>
        <w:rPr>
          <w:rFonts w:hint="eastAsia"/>
          <w:b/>
          <w:bCs/>
          <w:color w:val="auto"/>
          <w:sz w:val="24"/>
          <w:highlight w:val="none"/>
        </w:rPr>
        <w:t>第二部分</w:t>
      </w:r>
      <w:r>
        <w:rPr>
          <w:rFonts w:hint="eastAsia"/>
          <w:b/>
          <w:bCs/>
          <w:color w:val="auto"/>
          <w:sz w:val="24"/>
          <w:highlight w:val="none"/>
          <w:lang w:val="en-US" w:eastAsia="zh-CN"/>
        </w:rPr>
        <w:t xml:space="preserve"> 2021年度</w:t>
      </w:r>
      <w:r>
        <w:rPr>
          <w:rFonts w:hint="eastAsia"/>
          <w:b/>
          <w:bCs/>
          <w:color w:val="auto"/>
          <w:sz w:val="24"/>
          <w:highlight w:val="none"/>
          <w:lang w:eastAsia="zh-CN"/>
        </w:rPr>
        <w:t>单位</w:t>
      </w:r>
      <w:r>
        <w:rPr>
          <w:rFonts w:hint="eastAsia"/>
          <w:b/>
          <w:bCs/>
          <w:color w:val="auto"/>
          <w:sz w:val="24"/>
          <w:highlight w:val="none"/>
        </w:rPr>
        <w:t>决算情况说明</w:t>
      </w:r>
      <w:r>
        <w:rPr>
          <w:rStyle w:val="25"/>
          <w:rFonts w:hint="eastAsia" w:ascii="仿宋" w:hAnsi="仿宋" w:eastAsia="仿宋"/>
          <w:b/>
          <w:bCs/>
          <w:lang w:val="en-US" w:eastAsia="zh-CN" w:bidi="ar-SA"/>
        </w:rPr>
        <w:tab/>
      </w:r>
      <w:r>
        <w:rPr>
          <w:rStyle w:val="25"/>
          <w:rFonts w:hint="eastAsia"/>
          <w:b/>
          <w:bCs/>
          <w:lang w:val="en-US" w:eastAsia="zh-CN" w:bidi="ar-SA"/>
        </w:rPr>
        <w:t>7</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一、收入支出决算总体情况说明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7</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二、收入决算情况说明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7</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三、支出决算情况说明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8</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四、财政拨款收入支出决算总体情况说明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8</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五、一般公共预算财政拨款支出决算情况说明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9</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六、一般公共预算财政拨款基本支出决算情况说明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11</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七、</w:t>
      </w:r>
      <w:r>
        <w:rPr>
          <w:rFonts w:hint="eastAsia"/>
          <w:b/>
          <w:bCs/>
          <w:color w:val="auto"/>
          <w:sz w:val="24"/>
          <w:highlight w:val="none"/>
          <w:lang w:eastAsia="zh-CN"/>
        </w:rPr>
        <w:t>“</w:t>
      </w:r>
      <w:r>
        <w:rPr>
          <w:rFonts w:hint="eastAsia"/>
          <w:b/>
          <w:bCs/>
          <w:color w:val="auto"/>
          <w:sz w:val="24"/>
          <w:highlight w:val="none"/>
        </w:rPr>
        <w:t>三公”经费财政拨款支出决算情况说明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12</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八、政府性基金预算支出决算情况说明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13</w:t>
      </w:r>
    </w:p>
    <w:p>
      <w:pPr>
        <w:pStyle w:val="11"/>
        <w:adjustRightInd w:val="0"/>
        <w:snapToGrid w:val="0"/>
        <w:spacing w:line="440" w:lineRule="exact"/>
        <w:jc w:val="left"/>
        <w:rPr>
          <w:rFonts w:hint="default"/>
          <w:b/>
          <w:bCs/>
          <w:color w:val="auto"/>
          <w:sz w:val="24"/>
          <w:highlight w:val="none"/>
          <w:lang w:val="en-US"/>
        </w:rPr>
      </w:pPr>
      <w:r>
        <w:rPr>
          <w:rFonts w:hint="eastAsia"/>
          <w:b/>
          <w:bCs/>
          <w:color w:val="auto"/>
          <w:sz w:val="24"/>
          <w:highlight w:val="none"/>
        </w:rPr>
        <w:t>九、国有资本经营预算支出决算情况说明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13</w:t>
      </w:r>
    </w:p>
    <w:p>
      <w:pPr>
        <w:pStyle w:val="11"/>
        <w:adjustRightInd w:val="0"/>
        <w:snapToGrid w:val="0"/>
        <w:spacing w:line="440" w:lineRule="exact"/>
        <w:jc w:val="left"/>
        <w:rPr>
          <w:rFonts w:hint="default" w:eastAsia="宋体"/>
          <w:b/>
          <w:bCs/>
          <w:lang w:val="en-US" w:eastAsia="zh-CN"/>
        </w:rPr>
      </w:pPr>
      <w:r>
        <w:rPr>
          <w:rFonts w:hint="eastAsia"/>
          <w:b/>
          <w:bCs/>
          <w:color w:val="auto"/>
          <w:sz w:val="24"/>
          <w:highlight w:val="none"/>
        </w:rPr>
        <w:t>十、</w:t>
      </w:r>
      <w:r>
        <w:rPr>
          <w:rFonts w:hint="eastAsia" w:asciiTheme="minorEastAsia" w:hAnsiTheme="minorEastAsia" w:eastAsiaTheme="minorEastAsia" w:cstheme="minorEastAsia"/>
          <w:b/>
          <w:bCs/>
          <w:color w:val="auto"/>
          <w:sz w:val="24"/>
          <w:highlight w:val="none"/>
          <w:lang w:val="en-US" w:eastAsia="zh-CN"/>
        </w:rPr>
        <w:t>预算绩效管理情况</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13</w:t>
      </w:r>
    </w:p>
    <w:p>
      <w:pPr>
        <w:pStyle w:val="11"/>
        <w:adjustRightInd w:val="0"/>
        <w:snapToGrid w:val="0"/>
        <w:spacing w:line="440" w:lineRule="exact"/>
        <w:jc w:val="left"/>
        <w:rPr>
          <w:rFonts w:hint="default" w:eastAsia="宋体"/>
          <w:b/>
          <w:bCs/>
          <w:lang w:val="en-US" w:eastAsia="zh-CN"/>
        </w:rPr>
      </w:pPr>
      <w:r>
        <w:rPr>
          <w:rFonts w:hint="eastAsia"/>
          <w:b/>
          <w:bCs/>
          <w:color w:val="auto"/>
          <w:sz w:val="24"/>
          <w:highlight w:val="none"/>
          <w:lang w:val="en-US" w:eastAsia="zh-CN"/>
        </w:rPr>
        <w:t>十一、</w:t>
      </w:r>
      <w:r>
        <w:rPr>
          <w:rFonts w:hint="eastAsia"/>
          <w:b/>
          <w:bCs/>
          <w:color w:val="auto"/>
          <w:sz w:val="24"/>
          <w:highlight w:val="none"/>
        </w:rPr>
        <w:t>其他重要事项的情况说明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14</w:t>
      </w:r>
    </w:p>
    <w:p>
      <w:pPr>
        <w:pStyle w:val="10"/>
        <w:adjustRightInd w:val="0"/>
        <w:snapToGrid w:val="0"/>
        <w:spacing w:before="0" w:line="440" w:lineRule="exact"/>
        <w:jc w:val="left"/>
        <w:rPr>
          <w:rFonts w:hint="default" w:cstheme="minorBidi"/>
          <w:b/>
          <w:bCs/>
          <w:color w:val="auto"/>
          <w:sz w:val="24"/>
          <w:szCs w:val="24"/>
          <w:highlight w:val="none"/>
          <w:lang w:val="en-US"/>
        </w:rPr>
      </w:pPr>
      <w:r>
        <w:rPr>
          <w:rFonts w:hint="eastAsia"/>
          <w:b/>
          <w:bCs/>
          <w:color w:val="auto"/>
          <w:sz w:val="24"/>
          <w:highlight w:val="none"/>
        </w:rPr>
        <w:t>第三部分</w:t>
      </w:r>
      <w:r>
        <w:rPr>
          <w:b/>
          <w:bCs/>
          <w:color w:val="auto"/>
          <w:sz w:val="24"/>
          <w:highlight w:val="none"/>
        </w:rPr>
        <w:t xml:space="preserve"> </w:t>
      </w:r>
      <w:r>
        <w:rPr>
          <w:rFonts w:hint="eastAsia"/>
          <w:b/>
          <w:bCs/>
          <w:color w:val="auto"/>
          <w:sz w:val="24"/>
          <w:highlight w:val="none"/>
        </w:rPr>
        <w:t>名词解释</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15</w:t>
      </w:r>
    </w:p>
    <w:p>
      <w:pPr>
        <w:pStyle w:val="10"/>
        <w:adjustRightInd w:val="0"/>
        <w:snapToGrid w:val="0"/>
        <w:spacing w:before="0" w:line="440" w:lineRule="exact"/>
        <w:jc w:val="left"/>
        <w:rPr>
          <w:rFonts w:hint="default" w:cstheme="minorBidi"/>
          <w:b/>
          <w:bCs/>
          <w:color w:val="auto"/>
          <w:sz w:val="24"/>
          <w:szCs w:val="24"/>
          <w:highlight w:val="none"/>
          <w:lang w:val="en-US"/>
        </w:rPr>
      </w:pPr>
      <w:r>
        <w:rPr>
          <w:rFonts w:hint="eastAsia"/>
          <w:b/>
          <w:bCs/>
          <w:color w:val="auto"/>
          <w:sz w:val="24"/>
          <w:highlight w:val="none"/>
        </w:rPr>
        <w:t>第四部分</w:t>
      </w:r>
      <w:r>
        <w:rPr>
          <w:b/>
          <w:bCs/>
          <w:color w:val="auto"/>
          <w:sz w:val="24"/>
          <w:highlight w:val="none"/>
        </w:rPr>
        <w:t xml:space="preserve"> </w:t>
      </w:r>
      <w:r>
        <w:rPr>
          <w:rFonts w:hint="eastAsia"/>
          <w:b/>
          <w:bCs/>
          <w:color w:val="auto"/>
          <w:sz w:val="24"/>
          <w:highlight w:val="none"/>
        </w:rPr>
        <w:t>附件</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17</w:t>
      </w:r>
    </w:p>
    <w:p>
      <w:pPr>
        <w:pStyle w:val="10"/>
        <w:adjustRightInd w:val="0"/>
        <w:snapToGrid w:val="0"/>
        <w:spacing w:before="0" w:line="440" w:lineRule="exact"/>
        <w:jc w:val="left"/>
        <w:rPr>
          <w:rFonts w:hint="default" w:cstheme="minorBidi"/>
          <w:b/>
          <w:bCs/>
          <w:color w:val="auto"/>
          <w:sz w:val="24"/>
          <w:szCs w:val="24"/>
          <w:highlight w:val="none"/>
          <w:lang w:val="en-US"/>
        </w:rPr>
      </w:pPr>
      <w:r>
        <w:rPr>
          <w:rFonts w:hint="eastAsia"/>
          <w:b/>
          <w:bCs/>
          <w:color w:val="auto"/>
          <w:sz w:val="24"/>
          <w:highlight w:val="none"/>
        </w:rPr>
        <w:t>第五部分</w:t>
      </w:r>
      <w:r>
        <w:rPr>
          <w:b/>
          <w:bCs/>
          <w:color w:val="auto"/>
          <w:sz w:val="24"/>
          <w:highlight w:val="none"/>
        </w:rPr>
        <w:t xml:space="preserve"> </w:t>
      </w:r>
      <w:r>
        <w:rPr>
          <w:rFonts w:hint="eastAsia"/>
          <w:b/>
          <w:bCs/>
          <w:color w:val="auto"/>
          <w:sz w:val="24"/>
          <w:highlight w:val="none"/>
        </w:rPr>
        <w:t>附表</w:t>
      </w:r>
      <w:r>
        <w:rPr>
          <w:rStyle w:val="25"/>
          <w:rFonts w:hint="eastAsia" w:ascii="仿宋" w:hAnsi="仿宋" w:eastAsia="仿宋"/>
          <w:b/>
          <w:bCs/>
          <w:lang w:val="en-US" w:eastAsia="zh-CN" w:bidi="ar-SA"/>
        </w:rPr>
        <w:tab/>
      </w:r>
      <w:r>
        <w:rPr>
          <w:rStyle w:val="25"/>
          <w:rFonts w:hint="eastAsia"/>
          <w:b/>
          <w:bCs/>
          <w:lang w:val="en-US" w:eastAsia="zh-CN" w:bidi="ar-SA"/>
        </w:rPr>
        <w:t>42</w:t>
      </w:r>
    </w:p>
    <w:p>
      <w:pPr>
        <w:pStyle w:val="11"/>
        <w:adjustRightInd w:val="0"/>
        <w:snapToGrid w:val="0"/>
        <w:spacing w:line="440" w:lineRule="exact"/>
        <w:jc w:val="left"/>
        <w:rPr>
          <w:rFonts w:hint="default"/>
          <w:b/>
          <w:bCs/>
          <w:color w:val="auto"/>
          <w:sz w:val="24"/>
          <w:highlight w:val="none"/>
          <w:lang w:val="en-US"/>
        </w:rPr>
      </w:pPr>
      <w:r>
        <w:rPr>
          <w:rFonts w:hint="eastAsia"/>
          <w:b/>
          <w:bCs/>
          <w:color w:val="auto"/>
          <w:sz w:val="24"/>
          <w:highlight w:val="none"/>
        </w:rPr>
        <w:t>一、收入支出决算总表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42</w:t>
      </w:r>
    </w:p>
    <w:p>
      <w:pPr>
        <w:pStyle w:val="11"/>
        <w:adjustRightInd w:val="0"/>
        <w:snapToGrid w:val="0"/>
        <w:spacing w:line="440" w:lineRule="exact"/>
        <w:jc w:val="left"/>
        <w:rPr>
          <w:rFonts w:hint="default"/>
          <w:b/>
          <w:bCs/>
          <w:color w:val="auto"/>
          <w:sz w:val="24"/>
          <w:highlight w:val="none"/>
          <w:lang w:val="en-US"/>
        </w:rPr>
      </w:pPr>
      <w:r>
        <w:rPr>
          <w:rFonts w:hint="eastAsia"/>
          <w:b/>
          <w:bCs/>
          <w:color w:val="auto"/>
          <w:sz w:val="24"/>
          <w:highlight w:val="none"/>
        </w:rPr>
        <w:t>二、收入决算表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42</w:t>
      </w:r>
    </w:p>
    <w:p>
      <w:pPr>
        <w:pStyle w:val="11"/>
        <w:adjustRightInd w:val="0"/>
        <w:snapToGrid w:val="0"/>
        <w:spacing w:line="440" w:lineRule="exact"/>
        <w:jc w:val="left"/>
        <w:rPr>
          <w:rFonts w:hint="default"/>
          <w:b/>
          <w:bCs/>
          <w:color w:val="auto"/>
          <w:sz w:val="24"/>
          <w:highlight w:val="none"/>
          <w:lang w:val="en-US"/>
        </w:rPr>
      </w:pPr>
      <w:r>
        <w:rPr>
          <w:rFonts w:hint="eastAsia"/>
          <w:b/>
          <w:bCs/>
          <w:color w:val="auto"/>
          <w:sz w:val="24"/>
          <w:highlight w:val="none"/>
        </w:rPr>
        <w:t>三、支出决算表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42</w:t>
      </w:r>
    </w:p>
    <w:p>
      <w:pPr>
        <w:pStyle w:val="11"/>
        <w:adjustRightInd w:val="0"/>
        <w:snapToGrid w:val="0"/>
        <w:spacing w:line="440" w:lineRule="exact"/>
        <w:jc w:val="left"/>
        <w:rPr>
          <w:rFonts w:hint="default"/>
          <w:b/>
          <w:bCs/>
          <w:color w:val="auto"/>
          <w:sz w:val="24"/>
          <w:highlight w:val="none"/>
          <w:lang w:val="en-US"/>
        </w:rPr>
      </w:pPr>
      <w:r>
        <w:rPr>
          <w:rFonts w:hint="eastAsia"/>
          <w:b/>
          <w:bCs/>
          <w:color w:val="auto"/>
          <w:sz w:val="24"/>
          <w:highlight w:val="none"/>
        </w:rPr>
        <w:t>四、财政拨款收入支出决算总表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42</w:t>
      </w:r>
    </w:p>
    <w:p>
      <w:pPr>
        <w:pStyle w:val="11"/>
        <w:adjustRightInd w:val="0"/>
        <w:snapToGrid w:val="0"/>
        <w:spacing w:line="440" w:lineRule="exact"/>
        <w:jc w:val="left"/>
        <w:rPr>
          <w:rFonts w:hint="default"/>
          <w:b/>
          <w:bCs/>
          <w:color w:val="auto"/>
          <w:sz w:val="24"/>
          <w:highlight w:val="none"/>
          <w:lang w:val="en-US"/>
        </w:rPr>
      </w:pPr>
      <w:r>
        <w:rPr>
          <w:rFonts w:hint="eastAsia"/>
          <w:b/>
          <w:bCs/>
          <w:color w:val="auto"/>
          <w:sz w:val="24"/>
          <w:highlight w:val="none"/>
        </w:rPr>
        <w:t>五、财政拨款支出决算明细表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42</w:t>
      </w:r>
    </w:p>
    <w:p>
      <w:pPr>
        <w:pStyle w:val="11"/>
        <w:adjustRightInd w:val="0"/>
        <w:snapToGrid w:val="0"/>
        <w:spacing w:line="440" w:lineRule="exact"/>
        <w:jc w:val="left"/>
        <w:rPr>
          <w:rFonts w:hint="default"/>
          <w:b/>
          <w:bCs/>
          <w:color w:val="auto"/>
          <w:sz w:val="24"/>
          <w:highlight w:val="none"/>
          <w:lang w:val="en-US"/>
        </w:rPr>
      </w:pPr>
      <w:r>
        <w:rPr>
          <w:rFonts w:hint="eastAsia"/>
          <w:b/>
          <w:bCs/>
          <w:color w:val="auto"/>
          <w:sz w:val="24"/>
          <w:highlight w:val="none"/>
        </w:rPr>
        <w:t>六、一般公共预算财政拨款支出决算表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42</w:t>
      </w:r>
    </w:p>
    <w:p>
      <w:pPr>
        <w:pStyle w:val="11"/>
        <w:adjustRightInd w:val="0"/>
        <w:snapToGrid w:val="0"/>
        <w:spacing w:line="440" w:lineRule="exact"/>
        <w:jc w:val="left"/>
        <w:rPr>
          <w:rFonts w:hint="default"/>
          <w:b/>
          <w:bCs/>
          <w:color w:val="auto"/>
          <w:sz w:val="24"/>
          <w:highlight w:val="none"/>
          <w:lang w:val="en-US"/>
        </w:rPr>
      </w:pPr>
      <w:r>
        <w:rPr>
          <w:rFonts w:hint="eastAsia"/>
          <w:b/>
          <w:bCs/>
          <w:color w:val="auto"/>
          <w:sz w:val="24"/>
          <w:highlight w:val="none"/>
        </w:rPr>
        <w:t>七、一般公共预算财政拨款支出决算明细表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42</w:t>
      </w:r>
    </w:p>
    <w:p>
      <w:pPr>
        <w:pStyle w:val="11"/>
        <w:adjustRightInd w:val="0"/>
        <w:snapToGrid w:val="0"/>
        <w:spacing w:line="440" w:lineRule="exact"/>
        <w:jc w:val="left"/>
        <w:rPr>
          <w:rFonts w:hint="default"/>
          <w:b/>
          <w:bCs/>
          <w:color w:val="auto"/>
          <w:sz w:val="24"/>
          <w:highlight w:val="none"/>
          <w:lang w:val="en-US"/>
        </w:rPr>
      </w:pPr>
      <w:r>
        <w:rPr>
          <w:rFonts w:hint="eastAsia"/>
          <w:b/>
          <w:bCs/>
          <w:color w:val="auto"/>
          <w:sz w:val="24"/>
          <w:highlight w:val="none"/>
        </w:rPr>
        <w:t>八、一般公共预算财政拨款基本支出决算表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42</w:t>
      </w:r>
    </w:p>
    <w:p>
      <w:pPr>
        <w:pStyle w:val="11"/>
        <w:adjustRightInd w:val="0"/>
        <w:snapToGrid w:val="0"/>
        <w:spacing w:line="440" w:lineRule="exact"/>
        <w:jc w:val="left"/>
        <w:rPr>
          <w:rFonts w:hint="default"/>
          <w:b/>
          <w:bCs/>
          <w:color w:val="auto"/>
          <w:sz w:val="24"/>
          <w:highlight w:val="none"/>
          <w:lang w:val="en-US"/>
        </w:rPr>
      </w:pPr>
      <w:r>
        <w:rPr>
          <w:rFonts w:hint="eastAsia"/>
          <w:b/>
          <w:bCs/>
          <w:color w:val="auto"/>
          <w:sz w:val="24"/>
          <w:highlight w:val="none"/>
        </w:rPr>
        <w:t>九、一般公共预算财政拨款项目支出决算表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42</w:t>
      </w:r>
    </w:p>
    <w:p>
      <w:pPr>
        <w:pStyle w:val="11"/>
        <w:adjustRightInd w:val="0"/>
        <w:snapToGrid w:val="0"/>
        <w:spacing w:line="440" w:lineRule="exact"/>
        <w:jc w:val="left"/>
        <w:rPr>
          <w:rFonts w:hint="default"/>
          <w:b/>
          <w:bCs/>
          <w:color w:val="auto"/>
          <w:sz w:val="24"/>
          <w:highlight w:val="none"/>
          <w:lang w:val="en-US"/>
        </w:rPr>
      </w:pPr>
      <w:r>
        <w:rPr>
          <w:rFonts w:hint="eastAsia"/>
          <w:b/>
          <w:bCs/>
          <w:color w:val="auto"/>
          <w:sz w:val="24"/>
          <w:highlight w:val="none"/>
        </w:rPr>
        <w:t>十、一般公共预算财政拨款“三公”经费支出决算表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42</w:t>
      </w:r>
    </w:p>
    <w:p>
      <w:pPr>
        <w:pStyle w:val="11"/>
        <w:adjustRightInd w:val="0"/>
        <w:snapToGrid w:val="0"/>
        <w:spacing w:line="440" w:lineRule="exact"/>
        <w:jc w:val="left"/>
        <w:rPr>
          <w:rFonts w:hint="default"/>
          <w:b/>
          <w:bCs/>
          <w:color w:val="auto"/>
          <w:sz w:val="24"/>
          <w:highlight w:val="none"/>
          <w:lang w:val="en-US"/>
        </w:rPr>
      </w:pPr>
      <w:r>
        <w:rPr>
          <w:rFonts w:hint="eastAsia"/>
          <w:b/>
          <w:bCs/>
          <w:color w:val="auto"/>
          <w:sz w:val="24"/>
          <w:highlight w:val="none"/>
        </w:rPr>
        <w:t>十一、政府性基金预算财政拨款收入支出决算表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42</w:t>
      </w:r>
    </w:p>
    <w:p>
      <w:pPr>
        <w:pStyle w:val="11"/>
        <w:adjustRightInd w:val="0"/>
        <w:snapToGrid w:val="0"/>
        <w:spacing w:line="440" w:lineRule="exact"/>
        <w:jc w:val="left"/>
        <w:rPr>
          <w:rFonts w:hint="default"/>
          <w:b/>
          <w:bCs/>
          <w:color w:val="auto"/>
          <w:sz w:val="24"/>
          <w:highlight w:val="none"/>
          <w:lang w:val="en-US"/>
        </w:rPr>
      </w:pPr>
      <w:r>
        <w:rPr>
          <w:rFonts w:hint="eastAsia"/>
          <w:b/>
          <w:bCs/>
          <w:color w:val="auto"/>
          <w:sz w:val="24"/>
          <w:highlight w:val="none"/>
        </w:rPr>
        <w:t>十二、政府性基金预算财政拨款“三公”经费支出决算表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42</w:t>
      </w:r>
    </w:p>
    <w:p>
      <w:pPr>
        <w:pStyle w:val="11"/>
        <w:adjustRightInd w:val="0"/>
        <w:snapToGrid w:val="0"/>
        <w:spacing w:line="440" w:lineRule="exact"/>
        <w:jc w:val="left"/>
        <w:rPr>
          <w:rFonts w:hint="default"/>
          <w:b/>
          <w:bCs/>
          <w:color w:val="auto"/>
          <w:sz w:val="24"/>
          <w:highlight w:val="none"/>
          <w:lang w:val="en-US"/>
        </w:rPr>
      </w:pPr>
      <w:r>
        <w:rPr>
          <w:rFonts w:hint="eastAsia"/>
          <w:b/>
          <w:bCs/>
          <w:color w:val="auto"/>
          <w:sz w:val="24"/>
          <w:highlight w:val="none"/>
        </w:rPr>
        <w:t>十三、国有资本经营预算</w:t>
      </w:r>
      <w:r>
        <w:rPr>
          <w:rFonts w:hint="eastAsia"/>
          <w:b/>
          <w:bCs/>
          <w:color w:val="auto"/>
          <w:sz w:val="24"/>
          <w:highlight w:val="none"/>
          <w:lang w:eastAsia="zh-CN"/>
        </w:rPr>
        <w:t>财政拨款收入</w:t>
      </w:r>
      <w:r>
        <w:rPr>
          <w:rFonts w:hint="eastAsia"/>
          <w:b/>
          <w:bCs/>
          <w:color w:val="auto"/>
          <w:sz w:val="24"/>
          <w:highlight w:val="none"/>
        </w:rPr>
        <w:t>支出决算表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42</w:t>
      </w:r>
    </w:p>
    <w:p>
      <w:pPr>
        <w:pStyle w:val="11"/>
        <w:adjustRightInd w:val="0"/>
        <w:snapToGrid w:val="0"/>
        <w:spacing w:line="440" w:lineRule="exact"/>
        <w:jc w:val="left"/>
        <w:rPr>
          <w:rFonts w:hint="default"/>
          <w:b/>
          <w:bCs/>
          <w:color w:val="auto"/>
          <w:sz w:val="24"/>
          <w:highlight w:val="none"/>
          <w:lang w:val="en-US" w:eastAsia="zh-CN"/>
        </w:rPr>
      </w:pPr>
      <w:r>
        <w:rPr>
          <w:rFonts w:hint="eastAsia"/>
          <w:b/>
          <w:bCs/>
          <w:color w:val="auto"/>
          <w:sz w:val="24"/>
          <w:highlight w:val="none"/>
          <w:lang w:val="en-US" w:eastAsia="zh-CN"/>
        </w:rPr>
        <w:t>十四、国有资本经营预算财政拨款支出决算表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42</w:t>
      </w:r>
    </w:p>
    <w:p>
      <w:pPr>
        <w:widowControl/>
        <w:spacing w:line="440" w:lineRule="exact"/>
        <w:jc w:val="left"/>
        <w:rPr>
          <w:rFonts w:ascii="仿宋" w:hAnsi="仿宋" w:eastAsia="仿宋"/>
          <w:b/>
          <w:bCs/>
          <w:color w:val="auto"/>
          <w:kern w:val="44"/>
          <w:sz w:val="24"/>
          <w:highlight w:val="none"/>
        </w:rPr>
      </w:pPr>
      <w:bookmarkStart w:id="12" w:name="_Toc15377196"/>
      <w:bookmarkStart w:id="13" w:name="_Toc15396599"/>
      <w:r>
        <w:rPr>
          <w:rFonts w:ascii="仿宋" w:hAnsi="仿宋" w:eastAsia="仿宋"/>
          <w:b/>
          <w:bCs/>
          <w:color w:val="auto"/>
          <w:sz w:val="24"/>
          <w:highlight w:val="none"/>
        </w:rPr>
        <w:br w:type="page"/>
      </w:r>
    </w:p>
    <w:p>
      <w:pPr>
        <w:pStyle w:val="3"/>
        <w:jc w:val="center"/>
        <w:rPr>
          <w:rFonts w:hint="eastAsia" w:ascii="方正小标宋简体" w:hAnsi="方正小标宋简体" w:eastAsia="方正小标宋简体" w:cs="方正小标宋简体"/>
          <w:b/>
          <w:bCs/>
          <w:color w:val="auto"/>
          <w:sz w:val="44"/>
          <w:szCs w:val="44"/>
          <w:highlight w:val="none"/>
        </w:rPr>
      </w:pPr>
      <w:r>
        <w:rPr>
          <w:rFonts w:hint="eastAsia" w:ascii="方正小标宋简体" w:hAnsi="方正小标宋简体" w:eastAsia="方正小标宋简体" w:cs="方正小标宋简体"/>
          <w:b/>
          <w:bCs/>
          <w:color w:val="auto"/>
          <w:sz w:val="44"/>
          <w:szCs w:val="44"/>
          <w:highlight w:val="none"/>
        </w:rPr>
        <w:t xml:space="preserve">第一部分 </w:t>
      </w:r>
      <w:r>
        <w:rPr>
          <w:rFonts w:hint="eastAsia" w:ascii="方正小标宋简体" w:hAnsi="方正小标宋简体" w:eastAsia="方正小标宋简体" w:cs="方正小标宋简体"/>
          <w:b/>
          <w:bCs/>
          <w:color w:val="auto"/>
          <w:sz w:val="44"/>
          <w:szCs w:val="44"/>
          <w:highlight w:val="none"/>
          <w:lang w:eastAsia="zh-CN"/>
        </w:rPr>
        <w:t>单位</w:t>
      </w:r>
      <w:r>
        <w:rPr>
          <w:rStyle w:val="24"/>
          <w:rFonts w:hint="eastAsia" w:ascii="方正小标宋简体" w:hAnsi="方正小标宋简体" w:eastAsia="方正小标宋简体" w:cs="方正小标宋简体"/>
          <w:b/>
          <w:bCs/>
          <w:color w:val="auto"/>
          <w:sz w:val="44"/>
          <w:szCs w:val="44"/>
          <w:highlight w:val="none"/>
        </w:rPr>
        <w:t>概况</w:t>
      </w:r>
      <w:bookmarkEnd w:id="12"/>
      <w:bookmarkEnd w:id="13"/>
    </w:p>
    <w:p>
      <w:pPr>
        <w:numPr>
          <w:ilvl w:val="0"/>
          <w:numId w:val="0"/>
        </w:numPr>
        <w:bidi w:val="0"/>
        <w:ind w:firstLine="643" w:firstLineChars="200"/>
        <w:rPr>
          <w:rFonts w:hint="eastAsia" w:ascii="黑体" w:hAnsi="黑体" w:eastAsia="黑体" w:cs="黑体"/>
          <w:b/>
          <w:bCs/>
          <w:sz w:val="32"/>
          <w:szCs w:val="32"/>
          <w:lang w:eastAsia="zh-CN"/>
        </w:rPr>
      </w:pPr>
      <w:bookmarkStart w:id="14" w:name="_Toc15396600"/>
      <w:bookmarkStart w:id="15" w:name="_Toc15377197"/>
      <w:r>
        <w:rPr>
          <w:rFonts w:hint="eastAsia" w:ascii="黑体" w:hAnsi="黑体" w:eastAsia="黑体" w:cs="黑体"/>
          <w:b/>
          <w:bCs/>
          <w:sz w:val="32"/>
          <w:szCs w:val="32"/>
          <w:lang w:eastAsia="zh-CN"/>
        </w:rPr>
        <w:t>一、</w:t>
      </w:r>
      <w:r>
        <w:rPr>
          <w:rFonts w:hint="eastAsia" w:ascii="黑体" w:hAnsi="黑体" w:eastAsia="黑体" w:cs="黑体"/>
          <w:b/>
          <w:bCs/>
          <w:sz w:val="32"/>
          <w:szCs w:val="32"/>
        </w:rPr>
        <w:t>职能</w:t>
      </w:r>
      <w:r>
        <w:rPr>
          <w:rFonts w:hint="eastAsia" w:ascii="黑体" w:hAnsi="黑体" w:eastAsia="黑体" w:cs="黑体"/>
          <w:b/>
          <w:bCs/>
          <w:sz w:val="32"/>
          <w:szCs w:val="32"/>
          <w:lang w:eastAsia="zh-CN"/>
        </w:rPr>
        <w:t>简介</w:t>
      </w:r>
    </w:p>
    <w:p>
      <w:pPr>
        <w:numPr>
          <w:ilvl w:val="0"/>
          <w:numId w:val="0"/>
        </w:numPr>
        <w:bidi w:val="0"/>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负责处理市内外群众给市委、市政府的来信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接待群众来访</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及时准确地向市委、市政府领导反映来信来访中提出的重要建议、意见和问题</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综合分析信访信息</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开展调查研究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提出制定有关政策的建议</w:t>
      </w:r>
      <w:r>
        <w:rPr>
          <w:rFonts w:hint="eastAsia" w:ascii="仿宋_GB2312" w:hAnsi="仿宋_GB2312" w:eastAsia="仿宋_GB2312" w:cs="仿宋_GB2312"/>
          <w:b/>
          <w:bCs/>
          <w:sz w:val="32"/>
          <w:szCs w:val="32"/>
          <w:lang w:eastAsia="zh-CN"/>
        </w:rPr>
        <w:t>。</w:t>
      </w:r>
    </w:p>
    <w:p>
      <w:pPr>
        <w:numPr>
          <w:ilvl w:val="0"/>
          <w:numId w:val="0"/>
        </w:numPr>
        <w:bidi w:val="0"/>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承办党中央、国务院</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省委、省政府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市委、市政府及市委办公室、市政府办公室领导同志交办的群众工作和信访事项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督促检查领导同志对有关群众工作和信访批示的</w:t>
      </w:r>
      <w:r>
        <w:rPr>
          <w:rFonts w:hint="eastAsia" w:ascii="仿宋_GB2312" w:hAnsi="仿宋_GB2312" w:eastAsia="仿宋_GB2312" w:cs="仿宋_GB2312"/>
          <w:b/>
          <w:bCs/>
          <w:sz w:val="32"/>
          <w:szCs w:val="32"/>
          <w:lang w:eastAsia="zh-CN"/>
        </w:rPr>
        <w:t>落实</w:t>
      </w:r>
      <w:r>
        <w:rPr>
          <w:rFonts w:hint="eastAsia" w:ascii="仿宋_GB2312" w:hAnsi="仿宋_GB2312" w:eastAsia="仿宋_GB2312" w:cs="仿宋_GB2312"/>
          <w:b/>
          <w:bCs/>
          <w:sz w:val="32"/>
          <w:szCs w:val="32"/>
        </w:rPr>
        <w:t>情况</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向县区、广元经济开发区、市级部门交办群众</w:t>
      </w:r>
      <w:r>
        <w:rPr>
          <w:rFonts w:hint="eastAsia" w:ascii="仿宋_GB2312" w:hAnsi="仿宋_GB2312" w:eastAsia="仿宋_GB2312" w:cs="仿宋_GB2312"/>
          <w:b/>
          <w:bCs/>
          <w:sz w:val="32"/>
          <w:szCs w:val="32"/>
          <w:lang w:eastAsia="zh-CN"/>
        </w:rPr>
        <w:t>工</w:t>
      </w:r>
      <w:r>
        <w:rPr>
          <w:rFonts w:hint="eastAsia" w:ascii="仿宋_GB2312" w:hAnsi="仿宋_GB2312" w:eastAsia="仿宋_GB2312" w:cs="仿宋_GB2312"/>
          <w:b/>
          <w:bCs/>
          <w:sz w:val="32"/>
          <w:szCs w:val="32"/>
        </w:rPr>
        <w:t>作和信访事项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督促检查重要群众工作和信访事项处理和落实</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负责群众工作和信访案件的复查复核工作</w:t>
      </w:r>
      <w:r>
        <w:rPr>
          <w:rFonts w:hint="eastAsia" w:ascii="仿宋_GB2312" w:hAnsi="仿宋_GB2312" w:eastAsia="仿宋_GB2312" w:cs="仿宋_GB2312"/>
          <w:b/>
          <w:bCs/>
          <w:sz w:val="32"/>
          <w:szCs w:val="32"/>
          <w:lang w:eastAsia="zh-CN"/>
        </w:rPr>
        <w:t>。</w:t>
      </w:r>
    </w:p>
    <w:p>
      <w:pPr>
        <w:numPr>
          <w:ilvl w:val="0"/>
          <w:numId w:val="0"/>
        </w:numPr>
        <w:bidi w:val="0"/>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调处理跨县区和部门的重要群众工作和信访</w:t>
      </w:r>
      <w:r>
        <w:rPr>
          <w:rFonts w:hint="eastAsia" w:ascii="仿宋_GB2312" w:hAnsi="仿宋_GB2312" w:eastAsia="仿宋_GB2312" w:cs="仿宋_GB2312"/>
          <w:b/>
          <w:bCs/>
          <w:sz w:val="32"/>
          <w:szCs w:val="32"/>
          <w:lang w:eastAsia="zh-CN"/>
        </w:rPr>
        <w:t>问题，协调</w:t>
      </w:r>
      <w:r>
        <w:rPr>
          <w:rFonts w:hint="eastAsia" w:ascii="仿宋_GB2312" w:hAnsi="仿宋_GB2312" w:eastAsia="仿宋_GB2312" w:cs="仿宋_GB2312"/>
          <w:b/>
          <w:bCs/>
          <w:sz w:val="32"/>
          <w:szCs w:val="32"/>
        </w:rPr>
        <w:t>处理群众</w:t>
      </w:r>
      <w:r>
        <w:rPr>
          <w:rFonts w:hint="eastAsia" w:ascii="仿宋_GB2312" w:hAnsi="仿宋_GB2312" w:eastAsia="仿宋_GB2312" w:cs="仿宋_GB2312"/>
          <w:b/>
          <w:bCs/>
          <w:sz w:val="32"/>
          <w:szCs w:val="32"/>
          <w:lang w:eastAsia="zh-CN"/>
        </w:rPr>
        <w:t>集体</w:t>
      </w:r>
      <w:r>
        <w:rPr>
          <w:rFonts w:hint="eastAsia" w:ascii="仿宋_GB2312" w:hAnsi="仿宋_GB2312" w:eastAsia="仿宋_GB2312" w:cs="仿宋_GB2312"/>
          <w:b/>
          <w:bCs/>
          <w:sz w:val="32"/>
          <w:szCs w:val="32"/>
        </w:rPr>
        <w:t>到</w:t>
      </w:r>
      <w:r>
        <w:rPr>
          <w:rFonts w:hint="eastAsia" w:ascii="仿宋_GB2312" w:hAnsi="仿宋_GB2312" w:eastAsia="仿宋_GB2312" w:cs="仿宋_GB2312"/>
          <w:b/>
          <w:bCs/>
          <w:sz w:val="32"/>
          <w:szCs w:val="32"/>
          <w:lang w:eastAsia="zh-CN"/>
        </w:rPr>
        <w:t>市委</w:t>
      </w:r>
      <w:r>
        <w:rPr>
          <w:rFonts w:hint="eastAsia" w:ascii="仿宋_GB2312" w:hAnsi="仿宋_GB2312" w:eastAsia="仿宋_GB2312" w:cs="仿宋_GB2312"/>
          <w:b/>
          <w:bCs/>
          <w:sz w:val="32"/>
          <w:szCs w:val="32"/>
        </w:rPr>
        <w:t>、市</w:t>
      </w:r>
      <w:r>
        <w:rPr>
          <w:rFonts w:hint="eastAsia" w:ascii="仿宋_GB2312" w:hAnsi="仿宋_GB2312" w:eastAsia="仿宋_GB2312" w:cs="仿宋_GB2312"/>
          <w:b/>
          <w:bCs/>
          <w:sz w:val="32"/>
          <w:szCs w:val="32"/>
          <w:lang w:eastAsia="zh-CN"/>
        </w:rPr>
        <w:t>政府及</w:t>
      </w:r>
      <w:r>
        <w:rPr>
          <w:rFonts w:hint="eastAsia" w:ascii="仿宋_GB2312" w:hAnsi="仿宋_GB2312" w:eastAsia="仿宋_GB2312" w:cs="仿宋_GB2312"/>
          <w:b/>
          <w:bCs/>
          <w:sz w:val="32"/>
          <w:szCs w:val="32"/>
        </w:rPr>
        <w:t>有关</w:t>
      </w:r>
      <w:r>
        <w:rPr>
          <w:rFonts w:hint="eastAsia" w:ascii="仿宋_GB2312" w:hAnsi="仿宋_GB2312" w:eastAsia="仿宋_GB2312" w:cs="仿宋_GB2312"/>
          <w:b/>
          <w:bCs/>
          <w:sz w:val="32"/>
          <w:szCs w:val="32"/>
          <w:lang w:eastAsia="zh-CN"/>
        </w:rPr>
        <w:t>部门</w:t>
      </w:r>
      <w:r>
        <w:rPr>
          <w:rFonts w:hint="eastAsia" w:ascii="仿宋_GB2312" w:hAnsi="仿宋_GB2312" w:eastAsia="仿宋_GB2312" w:cs="仿宋_GB2312"/>
          <w:b/>
          <w:bCs/>
          <w:sz w:val="32"/>
          <w:szCs w:val="32"/>
        </w:rPr>
        <w:t>上访和突发性群体性事件</w:t>
      </w:r>
      <w:r>
        <w:rPr>
          <w:rFonts w:hint="eastAsia" w:ascii="仿宋_GB2312" w:hAnsi="仿宋_GB2312" w:eastAsia="仿宋_GB2312" w:cs="仿宋_GB2312"/>
          <w:b/>
          <w:bCs/>
          <w:sz w:val="32"/>
          <w:szCs w:val="32"/>
          <w:lang w:eastAsia="zh-CN"/>
        </w:rPr>
        <w:t>。</w:t>
      </w:r>
    </w:p>
    <w:p>
      <w:pPr>
        <w:numPr>
          <w:ilvl w:val="0"/>
          <w:numId w:val="0"/>
        </w:numPr>
        <w:bidi w:val="0"/>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检查、指导、协调全市群众和信访工作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负责全市信访信息系统建设</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研究、起草全市群众和信访工作规范性文件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总结推广各地、部门群众和信访工作的经验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提出加强和改进群众和信访工作的意见和建议</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通报重大群众和信访问题及事件</w:t>
      </w:r>
      <w:r>
        <w:rPr>
          <w:rFonts w:hint="eastAsia" w:ascii="仿宋_GB2312" w:hAnsi="仿宋_GB2312" w:eastAsia="仿宋_GB2312" w:cs="仿宋_GB2312"/>
          <w:b/>
          <w:bCs/>
          <w:sz w:val="32"/>
          <w:szCs w:val="32"/>
          <w:lang w:eastAsia="zh-CN"/>
        </w:rPr>
        <w:t>。</w:t>
      </w:r>
    </w:p>
    <w:p>
      <w:pPr>
        <w:numPr>
          <w:ilvl w:val="0"/>
          <w:numId w:val="0"/>
        </w:numPr>
        <w:bidi w:val="0"/>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保证信访渠道畅通</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负责协调市领导接待群众来访和</w:t>
      </w:r>
      <w:r>
        <w:rPr>
          <w:rFonts w:hint="eastAsia" w:ascii="仿宋_GB2312" w:hAnsi="仿宋_GB2312" w:eastAsia="仿宋_GB2312" w:cs="仿宋_GB2312"/>
          <w:b/>
          <w:bCs/>
          <w:sz w:val="32"/>
          <w:szCs w:val="32"/>
          <w:lang w:eastAsia="zh-CN"/>
        </w:rPr>
        <w:t>报案</w:t>
      </w:r>
      <w:r>
        <w:rPr>
          <w:rFonts w:hint="eastAsia" w:ascii="仿宋_GB2312" w:hAnsi="仿宋_GB2312" w:eastAsia="仿宋_GB2312" w:cs="仿宋_GB2312"/>
          <w:b/>
          <w:bCs/>
          <w:sz w:val="32"/>
          <w:szCs w:val="32"/>
        </w:rPr>
        <w:t>处理信访案件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负责联系市党代表、市人大代表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市政协委员定期参与接待群众来访工作</w:t>
      </w:r>
      <w:r>
        <w:rPr>
          <w:rFonts w:hint="eastAsia" w:ascii="仿宋_GB2312" w:hAnsi="仿宋_GB2312" w:eastAsia="仿宋_GB2312" w:cs="仿宋_GB2312"/>
          <w:b/>
          <w:bCs/>
          <w:sz w:val="32"/>
          <w:szCs w:val="32"/>
          <w:lang w:eastAsia="zh-CN"/>
        </w:rPr>
        <w:t>。</w:t>
      </w:r>
    </w:p>
    <w:p>
      <w:pPr>
        <w:numPr>
          <w:ilvl w:val="0"/>
          <w:numId w:val="0"/>
        </w:numPr>
        <w:bidi w:val="0"/>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负责处理</w:t>
      </w:r>
      <w:r>
        <w:rPr>
          <w:rFonts w:hint="eastAsia" w:ascii="仿宋_GB2312" w:hAnsi="仿宋_GB2312" w:eastAsia="仿宋_GB2312" w:cs="仿宋_GB2312"/>
          <w:b/>
          <w:bCs/>
          <w:sz w:val="32"/>
          <w:szCs w:val="32"/>
          <w:lang w:eastAsia="zh-CN"/>
        </w:rPr>
        <w:t>市信访工作联席会议</w:t>
      </w:r>
      <w:r>
        <w:rPr>
          <w:rFonts w:hint="eastAsia" w:ascii="仿宋_GB2312" w:hAnsi="仿宋_GB2312" w:eastAsia="仿宋_GB2312" w:cs="仿宋_GB2312"/>
          <w:b/>
          <w:bCs/>
          <w:sz w:val="32"/>
          <w:szCs w:val="32"/>
        </w:rPr>
        <w:t>综合协调和日常性工作</w:t>
      </w:r>
      <w:r>
        <w:rPr>
          <w:rFonts w:hint="eastAsia" w:ascii="仿宋_GB2312" w:hAnsi="仿宋_GB2312" w:eastAsia="仿宋_GB2312" w:cs="仿宋_GB2312"/>
          <w:b/>
          <w:bCs/>
          <w:sz w:val="32"/>
          <w:szCs w:val="32"/>
          <w:lang w:eastAsia="zh-CN"/>
        </w:rPr>
        <w:t>。</w:t>
      </w:r>
    </w:p>
    <w:p>
      <w:pPr>
        <w:numPr>
          <w:ilvl w:val="0"/>
          <w:numId w:val="0"/>
        </w:numPr>
        <w:bidi w:val="0"/>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承办省</w:t>
      </w:r>
      <w:r>
        <w:rPr>
          <w:rFonts w:hint="eastAsia" w:ascii="仿宋_GB2312" w:hAnsi="仿宋_GB2312" w:eastAsia="仿宋_GB2312" w:cs="仿宋_GB2312"/>
          <w:b/>
          <w:bCs/>
          <w:sz w:val="32"/>
          <w:szCs w:val="32"/>
          <w:lang w:eastAsia="zh-CN"/>
        </w:rPr>
        <w:t>信访局</w:t>
      </w:r>
      <w:r>
        <w:rPr>
          <w:rFonts w:hint="eastAsia" w:ascii="仿宋_GB2312" w:hAnsi="仿宋_GB2312" w:eastAsia="仿宋_GB2312" w:cs="仿宋_GB2312"/>
          <w:b/>
          <w:bCs/>
          <w:sz w:val="32"/>
          <w:szCs w:val="32"/>
        </w:rPr>
        <w:t>、市委市政府领导交办的其他事项</w:t>
      </w:r>
      <w:r>
        <w:rPr>
          <w:rFonts w:hint="eastAsia" w:ascii="仿宋_GB2312" w:hAnsi="仿宋_GB2312" w:eastAsia="仿宋_GB2312" w:cs="仿宋_GB2312"/>
          <w:b/>
          <w:bCs/>
          <w:sz w:val="32"/>
          <w:szCs w:val="32"/>
          <w:lang w:eastAsia="zh-CN"/>
        </w:rPr>
        <w:t>。</w:t>
      </w:r>
    </w:p>
    <w:p>
      <w:pPr>
        <w:numPr>
          <w:ilvl w:val="0"/>
          <w:numId w:val="0"/>
        </w:numPr>
        <w:bidi w:val="0"/>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val="en-US" w:eastAsia="zh-CN"/>
        </w:rPr>
        <w:t>二、2021年重点</w:t>
      </w:r>
      <w:r>
        <w:rPr>
          <w:rFonts w:hint="eastAsia" w:ascii="黑体" w:hAnsi="黑体" w:eastAsia="黑体" w:cs="黑体"/>
          <w:b/>
          <w:bCs/>
          <w:sz w:val="32"/>
          <w:szCs w:val="32"/>
        </w:rPr>
        <w:t>工作</w:t>
      </w:r>
      <w:bookmarkEnd w:id="14"/>
      <w:bookmarkEnd w:id="15"/>
      <w:r>
        <w:rPr>
          <w:rFonts w:hint="eastAsia" w:ascii="黑体" w:hAnsi="黑体" w:eastAsia="黑体" w:cs="黑体"/>
          <w:b/>
          <w:bCs/>
          <w:sz w:val="32"/>
          <w:szCs w:val="32"/>
          <w:lang w:eastAsia="zh-CN"/>
        </w:rPr>
        <w:t>完成情况</w:t>
      </w:r>
    </w:p>
    <w:p>
      <w:pPr>
        <w:numPr>
          <w:ilvl w:val="0"/>
          <w:numId w:val="0"/>
        </w:numPr>
        <w:bidi w:val="0"/>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强化基层信访工作能力，深入推进源头治理，2021年，全市信访总量同比下降9.7%，群众到市行政中心走访同比下降5.3%，大量信访事项及时就地化解、信访结构更趋合理、信访形秩序明显好转。市委群工局被省委省政府表彰为信访工作先进集体；市委、市政府主要领导多次作出肯定性批示。</w:t>
      </w:r>
    </w:p>
    <w:p>
      <w:pPr>
        <w:numPr>
          <w:ilvl w:val="0"/>
          <w:numId w:val="0"/>
        </w:numPr>
        <w:bidi w:val="0"/>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深入</w:t>
      </w:r>
      <w:r>
        <w:rPr>
          <w:rFonts w:hint="eastAsia" w:ascii="仿宋_GB2312" w:hAnsi="仿宋_GB2312" w:eastAsia="仿宋_GB2312" w:cs="仿宋_GB2312"/>
          <w:b/>
          <w:bCs/>
          <w:sz w:val="32"/>
          <w:szCs w:val="32"/>
        </w:rPr>
        <w:t>开展“马上办、限时办</w:t>
      </w:r>
      <w:r>
        <w:rPr>
          <w:rFonts w:hint="eastAsia" w:ascii="仿宋_GB2312" w:hAnsi="仿宋_GB2312" w:eastAsia="仿宋_GB2312" w:cs="仿宋_GB2312"/>
          <w:b/>
          <w:bCs/>
          <w:sz w:val="32"/>
          <w:szCs w:val="32"/>
          <w:lang w:eastAsia="zh-CN"/>
        </w:rPr>
        <w:t>、盯着办</w:t>
      </w:r>
      <w:r>
        <w:rPr>
          <w:rFonts w:hint="eastAsia" w:ascii="仿宋_GB2312" w:hAnsi="仿宋_GB2312" w:eastAsia="仿宋_GB2312" w:cs="仿宋_GB2312"/>
          <w:b/>
          <w:bCs/>
          <w:sz w:val="32"/>
          <w:szCs w:val="32"/>
        </w:rPr>
        <w:t>”专项行动，严格初次信访事项满意度回访</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群众信访事项办理程序更加规范，办理周期大幅缩短，办理质效明显好转，信访事项及时受理率100%、信访事项按期答复率99.97%，</w:t>
      </w:r>
      <w:r>
        <w:rPr>
          <w:rFonts w:hint="eastAsia" w:ascii="仿宋_GB2312" w:hAnsi="仿宋_GB2312" w:eastAsia="仿宋_GB2312" w:cs="仿宋_GB2312"/>
          <w:b/>
          <w:bCs/>
          <w:sz w:val="32"/>
          <w:szCs w:val="32"/>
          <w:lang w:eastAsia="zh-CN"/>
        </w:rPr>
        <w:t>群众</w:t>
      </w:r>
      <w:r>
        <w:rPr>
          <w:rFonts w:hint="eastAsia" w:ascii="仿宋_GB2312" w:hAnsi="仿宋_GB2312" w:eastAsia="仿宋_GB2312" w:cs="仿宋_GB2312"/>
          <w:b/>
          <w:bCs/>
          <w:sz w:val="32"/>
          <w:szCs w:val="32"/>
        </w:rPr>
        <w:t>满意率92</w:t>
      </w:r>
      <w:r>
        <w:rPr>
          <w:rFonts w:hint="eastAsia" w:ascii="仿宋_GB2312" w:hAnsi="仿宋_GB2312" w:eastAsia="仿宋_GB2312" w:cs="仿宋_GB2312"/>
          <w:b/>
          <w:bCs/>
          <w:sz w:val="32"/>
          <w:szCs w:val="32"/>
          <w:lang w:val="en"/>
        </w:rPr>
        <w:t>.</w:t>
      </w:r>
      <w:r>
        <w:rPr>
          <w:rFonts w:hint="eastAsia" w:ascii="仿宋_GB2312" w:hAnsi="仿宋_GB2312" w:eastAsia="仿宋_GB2312" w:cs="仿宋_GB2312"/>
          <w:b/>
          <w:bCs/>
          <w:sz w:val="32"/>
          <w:szCs w:val="32"/>
        </w:rPr>
        <w:t>59%</w:t>
      </w:r>
      <w:r>
        <w:rPr>
          <w:rFonts w:hint="eastAsia" w:ascii="仿宋_GB2312" w:hAnsi="仿宋_GB2312" w:eastAsia="仿宋_GB2312" w:cs="仿宋_GB2312"/>
          <w:b/>
          <w:bCs/>
          <w:sz w:val="32"/>
          <w:szCs w:val="32"/>
          <w:lang w:eastAsia="zh-CN"/>
        </w:rPr>
        <w:t>，位居全省第二。</w:t>
      </w:r>
    </w:p>
    <w:p>
      <w:pPr>
        <w:numPr>
          <w:ilvl w:val="0"/>
          <w:numId w:val="0"/>
        </w:numPr>
        <w:bidi w:val="0"/>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持续深入开展“集中治理重复信访、化解信访积案”专项工作，</w:t>
      </w:r>
      <w:r>
        <w:rPr>
          <w:rFonts w:hint="eastAsia" w:ascii="仿宋_GB2312" w:hAnsi="仿宋_GB2312" w:eastAsia="仿宋_GB2312" w:cs="仿宋_GB2312"/>
          <w:b/>
          <w:bCs/>
          <w:sz w:val="32"/>
          <w:szCs w:val="32"/>
          <w:lang w:val="en-US" w:eastAsia="zh-CN"/>
        </w:rPr>
        <w:t>市委常委会专题研究包案，逐案攻坚。中央信联办交办的第一批264件重复信访全部办结，化解率为97.3%；省信联办交办的143件全部化解，超额完成省下目标任务。</w:t>
      </w:r>
    </w:p>
    <w:p>
      <w:pPr>
        <w:numPr>
          <w:ilvl w:val="0"/>
          <w:numId w:val="0"/>
        </w:numPr>
        <w:bidi w:val="0"/>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完善</w:t>
      </w:r>
      <w:r>
        <w:rPr>
          <w:rFonts w:hint="eastAsia" w:ascii="仿宋_GB2312" w:hAnsi="仿宋_GB2312" w:eastAsia="仿宋_GB2312" w:cs="仿宋_GB2312"/>
          <w:b/>
          <w:bCs/>
          <w:sz w:val="32"/>
          <w:szCs w:val="32"/>
          <w:lang w:val="en-US" w:eastAsia="zh-CN"/>
        </w:rPr>
        <w:t>信息网络，全面掌控动态，开展“四级联动”矛盾纠纷动态排查化解，</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重要敏感节点全部保持和谐稳定。</w:t>
      </w:r>
    </w:p>
    <w:p>
      <w:pPr>
        <w:widowControl/>
        <w:jc w:val="left"/>
        <w:rPr>
          <w:rFonts w:ascii="仿宋" w:hAnsi="仿宋" w:eastAsia="仿宋"/>
          <w:b/>
          <w:bCs/>
          <w:color w:val="auto"/>
          <w:kern w:val="0"/>
          <w:sz w:val="32"/>
          <w:szCs w:val="32"/>
          <w:highlight w:val="none"/>
        </w:rPr>
      </w:pPr>
    </w:p>
    <w:p>
      <w:pPr>
        <w:pStyle w:val="2"/>
        <w:rPr>
          <w:rFonts w:ascii="仿宋" w:hAnsi="仿宋" w:eastAsia="仿宋"/>
          <w:b/>
          <w:bCs/>
          <w:color w:val="auto"/>
          <w:kern w:val="0"/>
          <w:sz w:val="32"/>
          <w:szCs w:val="32"/>
          <w:highlight w:val="none"/>
        </w:rPr>
      </w:pPr>
    </w:p>
    <w:p>
      <w:pPr>
        <w:pStyle w:val="2"/>
        <w:rPr>
          <w:rFonts w:ascii="仿宋" w:hAnsi="仿宋" w:eastAsia="仿宋"/>
          <w:b/>
          <w:bCs/>
          <w:color w:val="auto"/>
          <w:kern w:val="0"/>
          <w:sz w:val="32"/>
          <w:szCs w:val="32"/>
          <w:highlight w:val="none"/>
        </w:rPr>
      </w:pPr>
    </w:p>
    <w:p>
      <w:pPr>
        <w:pStyle w:val="2"/>
        <w:rPr>
          <w:rFonts w:ascii="仿宋" w:hAnsi="仿宋" w:eastAsia="仿宋"/>
          <w:b/>
          <w:bCs/>
          <w:color w:val="auto"/>
          <w:kern w:val="0"/>
          <w:sz w:val="32"/>
          <w:szCs w:val="32"/>
          <w:highlight w:val="none"/>
        </w:rPr>
      </w:pPr>
    </w:p>
    <w:p>
      <w:pPr>
        <w:pStyle w:val="2"/>
        <w:rPr>
          <w:rFonts w:ascii="仿宋" w:hAnsi="仿宋" w:eastAsia="仿宋"/>
          <w:b/>
          <w:bCs/>
          <w:color w:val="auto"/>
          <w:kern w:val="0"/>
          <w:sz w:val="32"/>
          <w:szCs w:val="32"/>
          <w:highlight w:val="none"/>
        </w:rPr>
      </w:pPr>
    </w:p>
    <w:p>
      <w:pPr>
        <w:pStyle w:val="2"/>
        <w:rPr>
          <w:rFonts w:ascii="仿宋" w:hAnsi="仿宋" w:eastAsia="仿宋"/>
          <w:b/>
          <w:bCs/>
          <w:color w:val="auto"/>
          <w:kern w:val="0"/>
          <w:sz w:val="32"/>
          <w:szCs w:val="32"/>
          <w:highlight w:val="none"/>
        </w:rPr>
      </w:pPr>
    </w:p>
    <w:p>
      <w:pPr>
        <w:pStyle w:val="2"/>
        <w:rPr>
          <w:rFonts w:ascii="仿宋" w:hAnsi="仿宋" w:eastAsia="仿宋"/>
          <w:b/>
          <w:bCs/>
          <w:color w:val="auto"/>
          <w:kern w:val="0"/>
          <w:sz w:val="32"/>
          <w:szCs w:val="32"/>
          <w:highlight w:val="none"/>
        </w:rPr>
      </w:pPr>
    </w:p>
    <w:p>
      <w:pPr>
        <w:pStyle w:val="2"/>
        <w:rPr>
          <w:rFonts w:ascii="仿宋" w:hAnsi="仿宋" w:eastAsia="仿宋"/>
          <w:b/>
          <w:bCs/>
          <w:color w:val="auto"/>
          <w:kern w:val="0"/>
          <w:sz w:val="32"/>
          <w:szCs w:val="32"/>
          <w:highlight w:val="none"/>
        </w:rPr>
      </w:pPr>
    </w:p>
    <w:p>
      <w:pPr>
        <w:pStyle w:val="2"/>
        <w:rPr>
          <w:rFonts w:ascii="仿宋" w:hAnsi="仿宋" w:eastAsia="仿宋"/>
          <w:b/>
          <w:bCs/>
          <w:color w:val="auto"/>
          <w:kern w:val="0"/>
          <w:sz w:val="32"/>
          <w:szCs w:val="32"/>
          <w:highlight w:val="none"/>
        </w:rPr>
      </w:pPr>
    </w:p>
    <w:p>
      <w:pPr>
        <w:pStyle w:val="2"/>
        <w:rPr>
          <w:rFonts w:ascii="仿宋" w:hAnsi="仿宋" w:eastAsia="仿宋"/>
          <w:b/>
          <w:bCs/>
          <w:color w:val="auto"/>
          <w:kern w:val="0"/>
          <w:sz w:val="32"/>
          <w:szCs w:val="32"/>
          <w:highlight w:val="none"/>
        </w:rPr>
      </w:pPr>
    </w:p>
    <w:p>
      <w:pPr>
        <w:pStyle w:val="2"/>
        <w:rPr>
          <w:rFonts w:ascii="仿宋" w:hAnsi="仿宋" w:eastAsia="仿宋"/>
          <w:b/>
          <w:bCs/>
          <w:color w:val="auto"/>
          <w:kern w:val="0"/>
          <w:sz w:val="32"/>
          <w:szCs w:val="32"/>
          <w:highlight w:val="none"/>
        </w:rPr>
      </w:pPr>
    </w:p>
    <w:p>
      <w:pPr>
        <w:pStyle w:val="2"/>
        <w:rPr>
          <w:rFonts w:ascii="仿宋" w:hAnsi="仿宋" w:eastAsia="仿宋"/>
          <w:b/>
          <w:bCs/>
          <w:color w:val="auto"/>
          <w:kern w:val="0"/>
          <w:sz w:val="32"/>
          <w:szCs w:val="32"/>
          <w:highlight w:val="none"/>
        </w:rPr>
      </w:pPr>
    </w:p>
    <w:p>
      <w:pPr>
        <w:pStyle w:val="2"/>
        <w:rPr>
          <w:rFonts w:ascii="仿宋" w:hAnsi="仿宋" w:eastAsia="仿宋"/>
          <w:b/>
          <w:bCs/>
          <w:color w:val="auto"/>
          <w:kern w:val="0"/>
          <w:sz w:val="32"/>
          <w:szCs w:val="32"/>
          <w:highlight w:val="none"/>
        </w:rPr>
      </w:pPr>
    </w:p>
    <w:p>
      <w:pPr>
        <w:pStyle w:val="2"/>
        <w:rPr>
          <w:rFonts w:ascii="仿宋" w:hAnsi="仿宋" w:eastAsia="仿宋"/>
          <w:b/>
          <w:bCs/>
          <w:color w:val="auto"/>
          <w:kern w:val="0"/>
          <w:sz w:val="32"/>
          <w:szCs w:val="32"/>
          <w:highlight w:val="none"/>
        </w:rPr>
      </w:pPr>
    </w:p>
    <w:p>
      <w:pPr>
        <w:pStyle w:val="2"/>
        <w:rPr>
          <w:rFonts w:ascii="仿宋" w:hAnsi="仿宋" w:eastAsia="仿宋"/>
          <w:b/>
          <w:bCs/>
          <w:color w:val="auto"/>
          <w:kern w:val="0"/>
          <w:sz w:val="32"/>
          <w:szCs w:val="32"/>
          <w:highlight w:val="none"/>
        </w:rPr>
      </w:pPr>
    </w:p>
    <w:p>
      <w:pPr>
        <w:pStyle w:val="2"/>
        <w:rPr>
          <w:rFonts w:ascii="仿宋" w:hAnsi="仿宋" w:eastAsia="仿宋"/>
          <w:b/>
          <w:bCs/>
          <w:color w:val="auto"/>
          <w:kern w:val="0"/>
          <w:sz w:val="32"/>
          <w:szCs w:val="32"/>
          <w:highlight w:val="none"/>
        </w:rPr>
      </w:pPr>
    </w:p>
    <w:p>
      <w:pPr>
        <w:pStyle w:val="2"/>
        <w:rPr>
          <w:rFonts w:ascii="仿宋" w:hAnsi="仿宋" w:eastAsia="仿宋"/>
          <w:b/>
          <w:bCs/>
          <w:color w:val="auto"/>
          <w:kern w:val="0"/>
          <w:sz w:val="32"/>
          <w:szCs w:val="32"/>
          <w:highlight w:val="none"/>
        </w:rPr>
      </w:pPr>
    </w:p>
    <w:p>
      <w:pPr>
        <w:pStyle w:val="3"/>
        <w:ind w:right="440"/>
        <w:jc w:val="center"/>
        <w:rPr>
          <w:rStyle w:val="24"/>
          <w:rFonts w:hint="eastAsia" w:ascii="方正小标宋简体" w:hAnsi="方正小标宋简体" w:eastAsia="方正小标宋简体" w:cs="方正小标宋简体"/>
          <w:b/>
          <w:bCs/>
          <w:color w:val="auto"/>
          <w:highlight w:val="none"/>
        </w:rPr>
      </w:pPr>
      <w:bookmarkStart w:id="16" w:name="_Toc15377204"/>
      <w:bookmarkStart w:id="17" w:name="_Toc15396602"/>
      <w:r>
        <w:rPr>
          <w:rFonts w:hint="eastAsia" w:ascii="方正小标宋简体" w:hAnsi="方正小标宋简体" w:eastAsia="方正小标宋简体" w:cs="方正小标宋简体"/>
          <w:b/>
          <w:bCs/>
          <w:color w:val="auto"/>
          <w:highlight w:val="none"/>
        </w:rPr>
        <w:t xml:space="preserve">第二部分 </w:t>
      </w:r>
      <w:r>
        <w:rPr>
          <w:rFonts w:hint="eastAsia" w:ascii="方正小标宋简体" w:hAnsi="方正小标宋简体" w:eastAsia="方正小标宋简体" w:cs="方正小标宋简体"/>
          <w:b/>
          <w:bCs/>
          <w:color w:val="auto"/>
          <w:highlight w:val="none"/>
          <w:lang w:val="en-US" w:eastAsia="zh-CN"/>
        </w:rPr>
        <w:t>2021年度</w:t>
      </w:r>
      <w:r>
        <w:rPr>
          <w:rStyle w:val="24"/>
          <w:rFonts w:hint="eastAsia" w:ascii="方正小标宋简体" w:hAnsi="方正小标宋简体" w:eastAsia="方正小标宋简体" w:cs="方正小标宋简体"/>
          <w:b/>
          <w:bCs/>
          <w:color w:val="auto"/>
          <w:highlight w:val="none"/>
          <w:lang w:eastAsia="zh-CN"/>
        </w:rPr>
        <w:t>单位</w:t>
      </w:r>
      <w:r>
        <w:rPr>
          <w:rStyle w:val="24"/>
          <w:rFonts w:hint="eastAsia" w:ascii="方正小标宋简体" w:hAnsi="方正小标宋简体" w:eastAsia="方正小标宋简体" w:cs="方正小标宋简体"/>
          <w:b/>
          <w:bCs/>
          <w:color w:val="auto"/>
          <w:highlight w:val="none"/>
        </w:rPr>
        <w:t>决算情况说明</w:t>
      </w:r>
      <w:bookmarkEnd w:id="16"/>
      <w:bookmarkEnd w:id="17"/>
    </w:p>
    <w:p>
      <w:pPr>
        <w:rPr>
          <w:b/>
          <w:bCs/>
          <w:color w:val="auto"/>
          <w:highlight w:val="none"/>
        </w:rPr>
      </w:pPr>
    </w:p>
    <w:p>
      <w:pPr>
        <w:pStyle w:val="23"/>
        <w:numPr>
          <w:ilvl w:val="0"/>
          <w:numId w:val="1"/>
        </w:numPr>
        <w:spacing w:line="600" w:lineRule="exact"/>
        <w:ind w:firstLineChars="0"/>
        <w:outlineLvl w:val="1"/>
        <w:rPr>
          <w:rStyle w:val="25"/>
          <w:rFonts w:ascii="黑体" w:hAnsi="黑体" w:eastAsia="黑体"/>
          <w:b/>
          <w:bCs/>
          <w:color w:val="auto"/>
          <w:highlight w:val="none"/>
        </w:rPr>
      </w:pPr>
      <w:bookmarkStart w:id="18" w:name="_Toc15377205"/>
      <w:bookmarkStart w:id="19" w:name="_Toc15396603"/>
      <w:r>
        <w:rPr>
          <w:rFonts w:hint="eastAsia" w:ascii="黑体" w:hAnsi="黑体" w:eastAsia="黑体"/>
          <w:b/>
          <w:bCs/>
          <w:color w:val="auto"/>
          <w:sz w:val="32"/>
          <w:szCs w:val="32"/>
          <w:highlight w:val="none"/>
        </w:rPr>
        <w:t>收</w:t>
      </w:r>
      <w:r>
        <w:rPr>
          <w:rStyle w:val="25"/>
          <w:rFonts w:hint="eastAsia" w:ascii="黑体" w:hAnsi="黑体" w:eastAsia="黑体"/>
          <w:b/>
          <w:bCs/>
          <w:color w:val="auto"/>
          <w:highlight w:val="none"/>
        </w:rPr>
        <w:t>入支出决算总体情况说明</w:t>
      </w:r>
      <w:bookmarkEnd w:id="18"/>
      <w:bookmarkEnd w:id="19"/>
    </w:p>
    <w:p>
      <w:pPr>
        <w:spacing w:line="600" w:lineRule="exact"/>
        <w:ind w:firstLine="640"/>
        <w:rPr>
          <w:rFonts w:ascii="仿宋" w:hAnsi="仿宋" w:eastAsia="仿宋"/>
          <w:b/>
          <w:bCs/>
          <w:color w:val="auto"/>
          <w:sz w:val="32"/>
          <w:szCs w:val="32"/>
          <w:highlight w:val="none"/>
        </w:rPr>
      </w:pPr>
      <w:r>
        <w:rPr>
          <w:rFonts w:hint="eastAsia" w:ascii="仿宋_GB2312" w:hAnsi="仿宋_GB2312" w:eastAsia="仿宋_GB2312" w:cs="仿宋_GB2312"/>
          <w:b/>
          <w:bCs/>
          <w:sz w:val="32"/>
          <w:szCs w:val="32"/>
          <w:lang w:val="en-US" w:eastAsia="zh-CN"/>
        </w:rPr>
        <w:t>2021年度收、支总计333.06万元。与2020年相比，收、支总计减少24.96万元，下降7%。主要变动原因是财政结转和结余减少。</w:t>
      </w:r>
    </w:p>
    <w:p>
      <w:pPr>
        <w:spacing w:line="600" w:lineRule="exact"/>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（图1：收、支决算总计变动情况图）</w:t>
      </w:r>
    </w:p>
    <w:p>
      <w:pPr>
        <w:pStyle w:val="2"/>
        <w:jc w:val="center"/>
        <w:rPr>
          <w:rFonts w:hint="eastAsia" w:ascii="仿宋_GB2312" w:eastAsia="仿宋_GB2312"/>
          <w:b/>
          <w:bCs/>
          <w:color w:val="auto"/>
          <w:sz w:val="32"/>
          <w:szCs w:val="32"/>
          <w:highlight w:val="none"/>
          <w:lang w:eastAsia="zh-CN"/>
        </w:rPr>
      </w:pPr>
      <w:r>
        <w:rPr>
          <w:rFonts w:hint="eastAsia" w:ascii="仿宋_GB2312" w:eastAsia="仿宋_GB2312"/>
          <w:b/>
          <w:bCs/>
          <w:color w:val="auto"/>
          <w:sz w:val="32"/>
          <w:szCs w:val="32"/>
          <w:highlight w:val="none"/>
          <w:lang w:eastAsia="zh-CN"/>
        </w:rPr>
        <w:drawing>
          <wp:inline distT="0" distB="0" distL="114300" distR="114300">
            <wp:extent cx="5273675" cy="2199640"/>
            <wp:effectExtent l="0" t="0" r="3175" b="10160"/>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6"/>
                    <a:stretch>
                      <a:fillRect/>
                    </a:stretch>
                  </pic:blipFill>
                  <pic:spPr>
                    <a:xfrm>
                      <a:off x="0" y="0"/>
                      <a:ext cx="5273675" cy="2199640"/>
                    </a:xfrm>
                    <a:prstGeom prst="rect">
                      <a:avLst/>
                    </a:prstGeom>
                  </pic:spPr>
                </pic:pic>
              </a:graphicData>
            </a:graphic>
          </wp:inline>
        </w:drawing>
      </w:r>
    </w:p>
    <w:p>
      <w:pPr>
        <w:pStyle w:val="23"/>
        <w:numPr>
          <w:ilvl w:val="0"/>
          <w:numId w:val="1"/>
        </w:numPr>
        <w:spacing w:line="600" w:lineRule="exact"/>
        <w:ind w:firstLineChars="0"/>
        <w:outlineLvl w:val="1"/>
        <w:rPr>
          <w:rStyle w:val="25"/>
          <w:rFonts w:ascii="黑体" w:hAnsi="黑体" w:eastAsia="黑体"/>
          <w:b/>
          <w:bCs/>
          <w:color w:val="auto"/>
          <w:highlight w:val="none"/>
        </w:rPr>
      </w:pPr>
      <w:bookmarkStart w:id="20" w:name="_Toc15396604"/>
      <w:bookmarkStart w:id="21" w:name="_Toc15377206"/>
      <w:r>
        <w:rPr>
          <w:rFonts w:hint="eastAsia" w:ascii="黑体" w:hAnsi="黑体" w:eastAsia="黑体"/>
          <w:b/>
          <w:bCs/>
          <w:color w:val="auto"/>
          <w:sz w:val="32"/>
          <w:szCs w:val="32"/>
          <w:highlight w:val="none"/>
        </w:rPr>
        <w:t>收</w:t>
      </w:r>
      <w:r>
        <w:rPr>
          <w:rStyle w:val="25"/>
          <w:rFonts w:hint="eastAsia" w:ascii="黑体" w:hAnsi="黑体" w:eastAsia="黑体"/>
          <w:b/>
          <w:bCs/>
          <w:color w:val="auto"/>
          <w:highlight w:val="none"/>
        </w:rPr>
        <w:t>入决算情况说明</w:t>
      </w:r>
      <w:bookmarkEnd w:id="20"/>
      <w:bookmarkEnd w:id="21"/>
    </w:p>
    <w:p>
      <w:pPr>
        <w:spacing w:line="600" w:lineRule="exact"/>
        <w:ind w:firstLine="643" w:firstLineChars="200"/>
        <w:outlineLvl w:val="1"/>
        <w:rPr>
          <w:rFonts w:ascii="仿宋" w:hAnsi="仿宋" w:eastAsia="仿宋"/>
          <w:b/>
          <w:bCs/>
          <w:color w:val="auto"/>
          <w:sz w:val="32"/>
          <w:szCs w:val="32"/>
          <w:highlight w:val="none"/>
        </w:rPr>
      </w:pPr>
      <w:r>
        <w:rPr>
          <w:rFonts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年本年收入合计328.71万元，其中：一般公共预算财政拨款收入328.71万元，占</w:t>
      </w:r>
      <w:r>
        <w:rPr>
          <w:rFonts w:hint="eastAsia" w:ascii="仿宋" w:hAnsi="仿宋" w:eastAsia="仿宋"/>
          <w:b/>
          <w:bCs/>
          <w:color w:val="auto"/>
          <w:sz w:val="32"/>
          <w:szCs w:val="32"/>
          <w:highlight w:val="none"/>
          <w:lang w:val="en-US" w:eastAsia="zh-CN"/>
        </w:rPr>
        <w:t>100</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lang w:eastAsia="zh-CN"/>
        </w:rPr>
        <w:t>。</w:t>
      </w:r>
    </w:p>
    <w:p>
      <w:pPr>
        <w:spacing w:line="600" w:lineRule="exact"/>
        <w:ind w:firstLine="643" w:firstLineChars="200"/>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rPr>
        <w:t>（图2：收入决算结构图）</w:t>
      </w:r>
    </w:p>
    <w:p>
      <w:pPr>
        <w:pStyle w:val="2"/>
        <w:jc w:val="center"/>
        <w:rPr>
          <w:rFonts w:ascii="仿宋_GB2312" w:eastAsia="仿宋_GB2312"/>
          <w:b/>
          <w:bCs/>
          <w:color w:val="auto"/>
          <w:sz w:val="32"/>
          <w:szCs w:val="32"/>
          <w:highlight w:val="none"/>
        </w:rPr>
      </w:pPr>
      <w:r>
        <w:rPr>
          <w:rFonts w:hint="eastAsia" w:ascii="仿宋_GB2312" w:eastAsia="仿宋_GB2312"/>
          <w:b/>
          <w:bCs/>
          <w:color w:val="auto"/>
          <w:sz w:val="32"/>
          <w:szCs w:val="32"/>
          <w:highlight w:val="none"/>
          <w:lang w:eastAsia="zh-CN"/>
        </w:rPr>
        <w:drawing>
          <wp:inline distT="0" distB="0" distL="114300" distR="114300">
            <wp:extent cx="3605530" cy="1864360"/>
            <wp:effectExtent l="0" t="0" r="13970" b="2540"/>
            <wp:docPr id="3" name="图片 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2"/>
                    <pic:cNvPicPr>
                      <a:picLocks noChangeAspect="1"/>
                    </pic:cNvPicPr>
                  </pic:nvPicPr>
                  <pic:blipFill>
                    <a:blip r:embed="rId7"/>
                    <a:stretch>
                      <a:fillRect/>
                    </a:stretch>
                  </pic:blipFill>
                  <pic:spPr>
                    <a:xfrm>
                      <a:off x="0" y="0"/>
                      <a:ext cx="3605530" cy="1864360"/>
                    </a:xfrm>
                    <a:prstGeom prst="rect">
                      <a:avLst/>
                    </a:prstGeom>
                  </pic:spPr>
                </pic:pic>
              </a:graphicData>
            </a:graphic>
          </wp:inline>
        </w:drawing>
      </w:r>
    </w:p>
    <w:p>
      <w:pPr>
        <w:pStyle w:val="23"/>
        <w:numPr>
          <w:ilvl w:val="0"/>
          <w:numId w:val="1"/>
        </w:numPr>
        <w:spacing w:line="600" w:lineRule="exact"/>
        <w:ind w:firstLineChars="0"/>
        <w:outlineLvl w:val="1"/>
        <w:rPr>
          <w:rStyle w:val="25"/>
          <w:rFonts w:ascii="黑体" w:hAnsi="黑体" w:eastAsia="黑体"/>
          <w:b/>
          <w:bCs/>
          <w:color w:val="auto"/>
          <w:highlight w:val="none"/>
        </w:rPr>
      </w:pPr>
      <w:bookmarkStart w:id="22" w:name="_Toc15377207"/>
      <w:bookmarkStart w:id="23" w:name="_Toc15396605"/>
      <w:r>
        <w:rPr>
          <w:rFonts w:hint="eastAsia" w:ascii="黑体" w:hAnsi="黑体" w:eastAsia="黑体"/>
          <w:b/>
          <w:bCs/>
          <w:color w:val="auto"/>
          <w:sz w:val="32"/>
          <w:szCs w:val="32"/>
          <w:highlight w:val="none"/>
        </w:rPr>
        <w:t>支</w:t>
      </w:r>
      <w:r>
        <w:rPr>
          <w:rStyle w:val="25"/>
          <w:rFonts w:hint="eastAsia" w:ascii="黑体" w:hAnsi="黑体" w:eastAsia="黑体"/>
          <w:b/>
          <w:bCs/>
          <w:color w:val="auto"/>
          <w:highlight w:val="none"/>
        </w:rPr>
        <w:t>出决算情况说明</w:t>
      </w:r>
      <w:bookmarkEnd w:id="22"/>
      <w:bookmarkEnd w:id="23"/>
    </w:p>
    <w:p>
      <w:pPr>
        <w:spacing w:line="600" w:lineRule="exact"/>
        <w:ind w:firstLine="643" w:firstLineChars="200"/>
        <w:outlineLvl w:val="1"/>
        <w:rPr>
          <w:rFonts w:ascii="仿宋" w:hAnsi="仿宋" w:eastAsia="仿宋"/>
          <w:b/>
          <w:bCs/>
          <w:color w:val="auto"/>
          <w:sz w:val="32"/>
          <w:szCs w:val="32"/>
          <w:highlight w:val="none"/>
          <w:shd w:val="pct10" w:color="auto" w:fill="FFFFFF"/>
        </w:rPr>
      </w:pPr>
      <w:r>
        <w:rPr>
          <w:rFonts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年本年支出合计332.55万元，其中：基本支出260.44万元，占</w:t>
      </w:r>
      <w:r>
        <w:rPr>
          <w:rFonts w:hint="eastAsia" w:ascii="仿宋" w:hAnsi="仿宋" w:eastAsia="仿宋"/>
          <w:b/>
          <w:bCs/>
          <w:color w:val="auto"/>
          <w:sz w:val="32"/>
          <w:szCs w:val="32"/>
          <w:highlight w:val="none"/>
          <w:lang w:val="en-US" w:eastAsia="zh-CN"/>
        </w:rPr>
        <w:t>78</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；项目支出72.11万元，占</w:t>
      </w:r>
      <w:r>
        <w:rPr>
          <w:rFonts w:hint="eastAsia" w:ascii="仿宋" w:hAnsi="仿宋" w:eastAsia="仿宋"/>
          <w:b/>
          <w:bCs/>
          <w:color w:val="auto"/>
          <w:sz w:val="32"/>
          <w:szCs w:val="32"/>
          <w:highlight w:val="none"/>
          <w:lang w:val="en-US" w:eastAsia="zh-CN"/>
        </w:rPr>
        <w:t>22</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lang w:eastAsia="zh-CN"/>
        </w:rPr>
        <w:t>。</w:t>
      </w:r>
    </w:p>
    <w:p>
      <w:pPr>
        <w:spacing w:line="600" w:lineRule="exact"/>
        <w:ind w:firstLine="643" w:firstLineChars="20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（图3：支出决算结构图）</w:t>
      </w:r>
    </w:p>
    <w:p>
      <w:pPr>
        <w:spacing w:line="240" w:lineRule="auto"/>
        <w:ind w:firstLine="643" w:firstLineChars="200"/>
        <w:rPr>
          <w:rFonts w:ascii="仿宋_GB2312" w:eastAsia="仿宋_GB2312"/>
          <w:b/>
          <w:bCs/>
          <w:color w:val="auto"/>
          <w:sz w:val="32"/>
          <w:szCs w:val="32"/>
          <w:highlight w:val="none"/>
        </w:rPr>
      </w:pPr>
      <w:r>
        <w:rPr>
          <w:rFonts w:hint="eastAsia" w:ascii="仿宋_GB2312" w:eastAsia="仿宋_GB2312"/>
          <w:b/>
          <w:bCs/>
          <w:color w:val="auto"/>
          <w:sz w:val="32"/>
          <w:szCs w:val="32"/>
          <w:highlight w:val="none"/>
          <w:lang w:eastAsia="zh-CN"/>
        </w:rPr>
        <w:drawing>
          <wp:inline distT="0" distB="0" distL="114300" distR="114300">
            <wp:extent cx="4584065" cy="2755265"/>
            <wp:effectExtent l="0" t="0" r="6985" b="6985"/>
            <wp:docPr id="5" name="图片 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2"/>
                    <pic:cNvPicPr>
                      <a:picLocks noChangeAspect="1"/>
                    </pic:cNvPicPr>
                  </pic:nvPicPr>
                  <pic:blipFill>
                    <a:blip r:embed="rId8"/>
                    <a:stretch>
                      <a:fillRect/>
                    </a:stretch>
                  </pic:blipFill>
                  <pic:spPr>
                    <a:xfrm>
                      <a:off x="0" y="0"/>
                      <a:ext cx="4584065" cy="2755265"/>
                    </a:xfrm>
                    <a:prstGeom prst="rect">
                      <a:avLst/>
                    </a:prstGeom>
                  </pic:spPr>
                </pic:pic>
              </a:graphicData>
            </a:graphic>
          </wp:inline>
        </w:drawing>
      </w:r>
    </w:p>
    <w:p>
      <w:pPr>
        <w:spacing w:line="600" w:lineRule="exact"/>
        <w:ind w:firstLine="643" w:firstLineChars="200"/>
        <w:outlineLvl w:val="1"/>
        <w:rPr>
          <w:rStyle w:val="25"/>
          <w:rFonts w:ascii="黑体" w:hAnsi="黑体" w:eastAsia="黑体"/>
          <w:b/>
          <w:bCs/>
          <w:color w:val="auto"/>
          <w:highlight w:val="none"/>
        </w:rPr>
      </w:pPr>
      <w:bookmarkStart w:id="24" w:name="_Toc15377208"/>
      <w:bookmarkStart w:id="25" w:name="_Toc15396606"/>
      <w:r>
        <w:rPr>
          <w:rFonts w:hint="eastAsia" w:ascii="黑体" w:hAnsi="黑体" w:eastAsia="黑体"/>
          <w:b/>
          <w:bCs/>
          <w:color w:val="auto"/>
          <w:sz w:val="32"/>
          <w:szCs w:val="32"/>
          <w:highlight w:val="none"/>
        </w:rPr>
        <w:t>四、财</w:t>
      </w:r>
      <w:r>
        <w:rPr>
          <w:rStyle w:val="25"/>
          <w:rFonts w:hint="eastAsia" w:ascii="黑体" w:hAnsi="黑体" w:eastAsia="黑体"/>
          <w:b/>
          <w:bCs/>
          <w:color w:val="auto"/>
          <w:highlight w:val="none"/>
        </w:rPr>
        <w:t>政拨款收入支出决算总体情况说明</w:t>
      </w:r>
      <w:bookmarkEnd w:id="24"/>
      <w:bookmarkEnd w:id="25"/>
    </w:p>
    <w:p>
      <w:pPr>
        <w:spacing w:line="600" w:lineRule="exact"/>
        <w:ind w:firstLine="640"/>
        <w:rPr>
          <w:rFonts w:ascii="仿宋" w:hAnsi="仿宋" w:eastAsia="仿宋"/>
          <w:b/>
          <w:bCs/>
          <w:color w:val="auto"/>
          <w:sz w:val="32"/>
          <w:szCs w:val="32"/>
          <w:highlight w:val="none"/>
        </w:rPr>
      </w:pPr>
      <w:r>
        <w:rPr>
          <w:rFonts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年财政拨款收、支总计333.06万元。与</w:t>
      </w:r>
      <w:r>
        <w:rPr>
          <w:rFonts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20</w:t>
      </w:r>
      <w:r>
        <w:rPr>
          <w:rFonts w:hint="eastAsia" w:ascii="仿宋" w:hAnsi="仿宋" w:eastAsia="仿宋"/>
          <w:b/>
          <w:bCs/>
          <w:color w:val="auto"/>
          <w:sz w:val="32"/>
          <w:szCs w:val="32"/>
          <w:highlight w:val="none"/>
        </w:rPr>
        <w:t>年相比，财政拨款收、支总计减少</w:t>
      </w:r>
      <w:r>
        <w:rPr>
          <w:rFonts w:hint="eastAsia" w:ascii="仿宋" w:hAnsi="仿宋" w:eastAsia="仿宋"/>
          <w:b/>
          <w:bCs/>
          <w:color w:val="auto"/>
          <w:sz w:val="32"/>
          <w:szCs w:val="32"/>
          <w:highlight w:val="none"/>
          <w:lang w:val="en-US" w:eastAsia="zh-CN"/>
        </w:rPr>
        <w:t>24.96</w:t>
      </w:r>
      <w:r>
        <w:rPr>
          <w:rFonts w:hint="eastAsia" w:ascii="仿宋" w:hAnsi="仿宋" w:eastAsia="仿宋"/>
          <w:b/>
          <w:bCs/>
          <w:color w:val="auto"/>
          <w:sz w:val="32"/>
          <w:szCs w:val="32"/>
          <w:highlight w:val="none"/>
        </w:rPr>
        <w:t>万元，下降</w:t>
      </w:r>
      <w:r>
        <w:rPr>
          <w:rFonts w:hint="eastAsia" w:ascii="仿宋" w:hAnsi="仿宋" w:eastAsia="仿宋"/>
          <w:b/>
          <w:bCs/>
          <w:color w:val="auto"/>
          <w:sz w:val="32"/>
          <w:szCs w:val="32"/>
          <w:highlight w:val="none"/>
          <w:lang w:val="en-US" w:eastAsia="zh-CN"/>
        </w:rPr>
        <w:t>7</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w:t>
      </w:r>
      <w:r>
        <w:rPr>
          <w:rFonts w:hint="eastAsia" w:ascii="仿宋_GB2312" w:hAnsi="仿宋_GB2312" w:eastAsia="仿宋_GB2312" w:cs="仿宋_GB2312"/>
          <w:b/>
          <w:bCs/>
          <w:sz w:val="32"/>
          <w:szCs w:val="32"/>
          <w:lang w:val="en-US" w:eastAsia="zh-CN"/>
        </w:rPr>
        <w:t>主要变动原因是财政结转和结余减少。</w:t>
      </w:r>
    </w:p>
    <w:p>
      <w:pPr>
        <w:spacing w:line="600" w:lineRule="exact"/>
        <w:ind w:firstLine="643" w:firstLineChars="200"/>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rPr>
        <w:t>（图4：财政拨款收、支决算总计变动情况）</w:t>
      </w:r>
    </w:p>
    <w:p>
      <w:pPr>
        <w:pStyle w:val="2"/>
        <w:jc w:val="right"/>
        <w:rPr>
          <w:rFonts w:ascii="仿宋" w:hAnsi="仿宋" w:eastAsia="仿宋"/>
          <w:b/>
          <w:bCs/>
          <w:color w:val="auto"/>
          <w:sz w:val="32"/>
          <w:szCs w:val="32"/>
          <w:highlight w:val="none"/>
        </w:rPr>
      </w:pPr>
      <w:r>
        <w:rPr>
          <w:rFonts w:hint="eastAsia" w:ascii="仿宋" w:hAnsi="仿宋" w:eastAsia="仿宋"/>
          <w:b/>
          <w:bCs/>
          <w:color w:val="auto"/>
          <w:sz w:val="32"/>
          <w:szCs w:val="32"/>
          <w:highlight w:val="none"/>
          <w:lang w:eastAsia="zh-CN"/>
        </w:rPr>
        <w:drawing>
          <wp:inline distT="0" distB="0" distL="114300" distR="114300">
            <wp:extent cx="5273675" cy="2199640"/>
            <wp:effectExtent l="0" t="0" r="3175" b="10160"/>
            <wp:docPr id="6" name="图片 6"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4"/>
                    <pic:cNvPicPr>
                      <a:picLocks noChangeAspect="1"/>
                    </pic:cNvPicPr>
                  </pic:nvPicPr>
                  <pic:blipFill>
                    <a:blip r:embed="rId9"/>
                    <a:stretch>
                      <a:fillRect/>
                    </a:stretch>
                  </pic:blipFill>
                  <pic:spPr>
                    <a:xfrm>
                      <a:off x="0" y="0"/>
                      <a:ext cx="5273675" cy="2199640"/>
                    </a:xfrm>
                    <a:prstGeom prst="rect">
                      <a:avLst/>
                    </a:prstGeom>
                  </pic:spPr>
                </pic:pic>
              </a:graphicData>
            </a:graphic>
          </wp:inline>
        </w:drawing>
      </w:r>
    </w:p>
    <w:p>
      <w:pPr>
        <w:spacing w:line="600" w:lineRule="exact"/>
        <w:ind w:firstLine="643" w:firstLineChars="200"/>
        <w:outlineLvl w:val="1"/>
        <w:rPr>
          <w:rStyle w:val="25"/>
          <w:rFonts w:ascii="黑体" w:hAnsi="黑体" w:eastAsia="黑体"/>
          <w:b/>
          <w:bCs/>
          <w:color w:val="auto"/>
          <w:highlight w:val="none"/>
        </w:rPr>
      </w:pPr>
      <w:bookmarkStart w:id="26" w:name="_Toc15377209"/>
      <w:bookmarkStart w:id="27" w:name="_Toc15396607"/>
      <w:r>
        <w:rPr>
          <w:rFonts w:hint="eastAsia" w:ascii="黑体" w:hAnsi="黑体" w:eastAsia="黑体"/>
          <w:b/>
          <w:bCs/>
          <w:color w:val="auto"/>
          <w:sz w:val="32"/>
          <w:szCs w:val="32"/>
          <w:highlight w:val="none"/>
        </w:rPr>
        <w:t>五、一</w:t>
      </w:r>
      <w:r>
        <w:rPr>
          <w:rStyle w:val="25"/>
          <w:rFonts w:hint="eastAsia" w:ascii="黑体" w:hAnsi="黑体" w:eastAsia="黑体"/>
          <w:b/>
          <w:bCs/>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bCs/>
          <w:color w:val="auto"/>
          <w:sz w:val="32"/>
          <w:szCs w:val="32"/>
          <w:highlight w:val="none"/>
        </w:rPr>
      </w:pPr>
      <w:bookmarkStart w:id="28" w:name="_Toc15377210"/>
      <w:r>
        <w:rPr>
          <w:rFonts w:hint="eastAsia" w:ascii="仿宋" w:hAnsi="仿宋" w:eastAsia="仿宋"/>
          <w:b/>
          <w:bCs/>
          <w:color w:val="auto"/>
          <w:sz w:val="32"/>
          <w:szCs w:val="32"/>
          <w:highlight w:val="none"/>
        </w:rPr>
        <w:t>（一）一般公共预算财政拨款支出决算总体情况</w:t>
      </w:r>
      <w:bookmarkEnd w:id="28"/>
    </w:p>
    <w:p>
      <w:pPr>
        <w:spacing w:line="600" w:lineRule="exact"/>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2021年一般公共预算财政拨款支出332.55万元，占本年支出合计的100%。与2020年相比，一般公共预算财政拨款支出减少21.12万元，下降6%。主要变动原因是财政结转和结余减少。</w:t>
      </w:r>
    </w:p>
    <w:p>
      <w:pPr>
        <w:spacing w:line="600" w:lineRule="exact"/>
        <w:ind w:firstLine="643" w:firstLineChars="200"/>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rPr>
        <w:t>（图5：一般公共预算财政拨款支出决算变动情况）</w:t>
      </w:r>
    </w:p>
    <w:p>
      <w:pPr>
        <w:pStyle w:val="2"/>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lang w:eastAsia="zh-CN"/>
        </w:rPr>
        <w:drawing>
          <wp:inline distT="0" distB="0" distL="114300" distR="114300">
            <wp:extent cx="5273675" cy="2199640"/>
            <wp:effectExtent l="0" t="0" r="3175" b="10160"/>
            <wp:docPr id="7" name="图片 7"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5"/>
                    <pic:cNvPicPr>
                      <a:picLocks noChangeAspect="1"/>
                    </pic:cNvPicPr>
                  </pic:nvPicPr>
                  <pic:blipFill>
                    <a:blip r:embed="rId10"/>
                    <a:stretch>
                      <a:fillRect/>
                    </a:stretch>
                  </pic:blipFill>
                  <pic:spPr>
                    <a:xfrm>
                      <a:off x="0" y="0"/>
                      <a:ext cx="5273675" cy="2199640"/>
                    </a:xfrm>
                    <a:prstGeom prst="rect">
                      <a:avLst/>
                    </a:prstGeom>
                  </pic:spPr>
                </pic:pic>
              </a:graphicData>
            </a:graphic>
          </wp:inline>
        </w:drawing>
      </w:r>
    </w:p>
    <w:p>
      <w:pPr>
        <w:spacing w:line="600" w:lineRule="exact"/>
        <w:ind w:firstLine="643" w:firstLineChars="200"/>
        <w:outlineLvl w:val="2"/>
        <w:rPr>
          <w:rFonts w:ascii="仿宋" w:hAnsi="仿宋" w:eastAsia="仿宋"/>
          <w:b/>
          <w:bCs/>
          <w:color w:val="auto"/>
          <w:sz w:val="32"/>
          <w:szCs w:val="32"/>
          <w:highlight w:val="none"/>
        </w:rPr>
      </w:pPr>
      <w:bookmarkStart w:id="29" w:name="_Toc15377211"/>
      <w:r>
        <w:rPr>
          <w:rFonts w:hint="eastAsia" w:ascii="仿宋" w:hAnsi="仿宋" w:eastAsia="仿宋"/>
          <w:b/>
          <w:bCs/>
          <w:color w:val="auto"/>
          <w:sz w:val="32"/>
          <w:szCs w:val="32"/>
          <w:highlight w:val="none"/>
        </w:rPr>
        <w:t>（二）一般公共预算财政拨款支出决算结构情况</w:t>
      </w:r>
      <w:bookmarkEnd w:id="29"/>
    </w:p>
    <w:p>
      <w:pPr>
        <w:spacing w:line="600" w:lineRule="exact"/>
        <w:ind w:firstLine="640"/>
        <w:rPr>
          <w:rFonts w:ascii="仿宋" w:hAnsi="仿宋" w:eastAsia="仿宋"/>
          <w:b/>
          <w:bCs/>
          <w:color w:val="auto"/>
          <w:sz w:val="32"/>
          <w:szCs w:val="32"/>
          <w:highlight w:val="none"/>
        </w:rPr>
      </w:pPr>
      <w:r>
        <w:rPr>
          <w:rFonts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年一般公共预算财政拨款支出</w:t>
      </w:r>
      <w:r>
        <w:rPr>
          <w:rFonts w:hint="eastAsia" w:ascii="仿宋" w:hAnsi="仿宋" w:eastAsia="仿宋"/>
          <w:b/>
          <w:bCs/>
          <w:color w:val="auto"/>
          <w:sz w:val="32"/>
          <w:szCs w:val="32"/>
          <w:highlight w:val="none"/>
          <w:lang w:val="en-US" w:eastAsia="zh-CN"/>
        </w:rPr>
        <w:t>332.55</w:t>
      </w:r>
      <w:r>
        <w:rPr>
          <w:rFonts w:hint="eastAsia" w:ascii="仿宋" w:hAnsi="仿宋" w:eastAsia="仿宋"/>
          <w:b/>
          <w:bCs/>
          <w:color w:val="auto"/>
          <w:sz w:val="32"/>
          <w:szCs w:val="32"/>
          <w:highlight w:val="none"/>
        </w:rPr>
        <w:t>万元，主要用于以下方面</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一般公共服务（类）支出</w:t>
      </w:r>
      <w:r>
        <w:rPr>
          <w:rFonts w:hint="eastAsia" w:ascii="仿宋" w:hAnsi="仿宋" w:eastAsia="仿宋"/>
          <w:b/>
          <w:bCs/>
          <w:color w:val="auto"/>
          <w:sz w:val="32"/>
          <w:szCs w:val="32"/>
          <w:highlight w:val="none"/>
          <w:lang w:val="en-US" w:eastAsia="zh-CN"/>
        </w:rPr>
        <w:t>268.06</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81</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；社会保障和就业（类）支出</w:t>
      </w:r>
      <w:r>
        <w:rPr>
          <w:rFonts w:hint="eastAsia" w:ascii="仿宋" w:hAnsi="仿宋" w:eastAsia="仿宋"/>
          <w:b/>
          <w:bCs/>
          <w:color w:val="auto"/>
          <w:sz w:val="32"/>
          <w:szCs w:val="32"/>
          <w:highlight w:val="none"/>
          <w:lang w:val="en-US" w:eastAsia="zh-CN"/>
        </w:rPr>
        <w:t>21.29</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6</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bCs/>
          <w:color w:val="auto"/>
          <w:sz w:val="32"/>
          <w:szCs w:val="32"/>
          <w:highlight w:val="none"/>
          <w:lang w:val="en-US" w:eastAsia="zh-CN"/>
        </w:rPr>
        <w:t>8.56</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3</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b/>
          <w:bCs/>
          <w:color w:val="auto"/>
          <w:sz w:val="32"/>
          <w:szCs w:val="32"/>
          <w:highlight w:val="none"/>
          <w:lang w:val="en-US" w:eastAsia="zh-CN"/>
        </w:rPr>
        <w:t>34.66</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10%</w:t>
      </w:r>
      <w:r>
        <w:rPr>
          <w:rFonts w:hint="eastAsia" w:ascii="仿宋" w:hAnsi="仿宋" w:eastAsia="仿宋"/>
          <w:b/>
          <w:bCs/>
          <w:color w:val="auto"/>
          <w:sz w:val="32"/>
          <w:szCs w:val="32"/>
          <w:highlight w:val="none"/>
        </w:rPr>
        <w:t>。</w:t>
      </w:r>
    </w:p>
    <w:p>
      <w:pPr>
        <w:spacing w:line="600" w:lineRule="exact"/>
        <w:ind w:firstLine="643" w:firstLineChars="20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（图6：一般公共预算财政拨款支出决算结构）</w:t>
      </w:r>
    </w:p>
    <w:p>
      <w:pPr>
        <w:spacing w:line="240" w:lineRule="auto"/>
        <w:ind w:firstLine="643" w:firstLineChars="200"/>
        <w:rPr>
          <w:rFonts w:ascii="仿宋" w:hAnsi="仿宋" w:eastAsia="仿宋"/>
          <w:b/>
          <w:bCs/>
          <w:color w:val="auto"/>
          <w:sz w:val="32"/>
          <w:szCs w:val="32"/>
          <w:highlight w:val="none"/>
        </w:rPr>
      </w:pPr>
      <w:r>
        <w:rPr>
          <w:rFonts w:hint="eastAsia" w:ascii="仿宋" w:hAnsi="仿宋" w:eastAsia="仿宋"/>
          <w:b/>
          <w:bCs/>
          <w:color w:val="auto"/>
          <w:sz w:val="32"/>
          <w:szCs w:val="32"/>
          <w:highlight w:val="none"/>
          <w:lang w:eastAsia="zh-CN"/>
        </w:rPr>
        <w:drawing>
          <wp:inline distT="0" distB="0" distL="114300" distR="114300">
            <wp:extent cx="4584065" cy="2755265"/>
            <wp:effectExtent l="0" t="0" r="6985" b="6985"/>
            <wp:docPr id="8" name="图片 8"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6"/>
                    <pic:cNvPicPr>
                      <a:picLocks noChangeAspect="1"/>
                    </pic:cNvPicPr>
                  </pic:nvPicPr>
                  <pic:blipFill>
                    <a:blip r:embed="rId11"/>
                    <a:stretch>
                      <a:fillRect/>
                    </a:stretch>
                  </pic:blipFill>
                  <pic:spPr>
                    <a:xfrm>
                      <a:off x="0" y="0"/>
                      <a:ext cx="4584065" cy="2755265"/>
                    </a:xfrm>
                    <a:prstGeom prst="rect">
                      <a:avLst/>
                    </a:prstGeom>
                  </pic:spPr>
                </pic:pic>
              </a:graphicData>
            </a:graphic>
          </wp:inline>
        </w:drawing>
      </w:r>
    </w:p>
    <w:p>
      <w:pPr>
        <w:spacing w:line="600" w:lineRule="exact"/>
        <w:ind w:firstLine="643" w:firstLineChars="200"/>
        <w:outlineLvl w:val="2"/>
        <w:rPr>
          <w:rFonts w:ascii="仿宋" w:hAnsi="仿宋" w:eastAsia="仿宋"/>
          <w:b/>
          <w:bCs/>
          <w:color w:val="auto"/>
          <w:sz w:val="32"/>
          <w:szCs w:val="32"/>
          <w:highlight w:val="none"/>
        </w:rPr>
      </w:pPr>
      <w:bookmarkStart w:id="30" w:name="_Toc15377212"/>
      <w:r>
        <w:rPr>
          <w:rFonts w:hint="eastAsia" w:ascii="仿宋" w:hAnsi="仿宋" w:eastAsia="仿宋"/>
          <w:b/>
          <w:bCs/>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b/>
          <w:bCs/>
          <w:color w:val="auto"/>
          <w:sz w:val="32"/>
          <w:szCs w:val="32"/>
          <w:highlight w:val="none"/>
        </w:rPr>
      </w:pPr>
      <w:bookmarkStart w:id="31" w:name="_Toc15377444"/>
      <w:bookmarkStart w:id="32" w:name="_Toc15377213"/>
      <w:bookmarkStart w:id="33" w:name="_Toc15378460"/>
      <w:r>
        <w:rPr>
          <w:rFonts w:hint="eastAsia"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w:t>
      </w:r>
      <w:r>
        <w:rPr>
          <w:rFonts w:hint="eastAsia" w:ascii="仿宋" w:hAnsi="仿宋" w:eastAsia="仿宋"/>
          <w:b/>
          <w:bCs/>
          <w:color w:val="auto"/>
          <w:sz w:val="32"/>
          <w:szCs w:val="32"/>
          <w:highlight w:val="none"/>
          <w:lang w:eastAsia="zh-CN"/>
        </w:rPr>
        <w:t>一</w:t>
      </w:r>
      <w:r>
        <w:rPr>
          <w:rFonts w:hint="eastAsia" w:ascii="仿宋" w:hAnsi="仿宋" w:eastAsia="仿宋"/>
          <w:b/>
          <w:bCs/>
          <w:color w:val="auto"/>
          <w:sz w:val="32"/>
          <w:szCs w:val="32"/>
          <w:highlight w:val="none"/>
        </w:rPr>
        <w:t>般公共预算支出决算数为</w:t>
      </w:r>
      <w:r>
        <w:rPr>
          <w:rFonts w:hint="eastAsia" w:ascii="仿宋" w:hAnsi="仿宋" w:eastAsia="仿宋"/>
          <w:b/>
          <w:bCs/>
          <w:color w:val="auto"/>
          <w:sz w:val="32"/>
          <w:szCs w:val="32"/>
          <w:highlight w:val="none"/>
          <w:lang w:val="en-US" w:eastAsia="zh-CN"/>
        </w:rPr>
        <w:t>332.55万元</w:t>
      </w:r>
      <w:r>
        <w:rPr>
          <w:rFonts w:hint="eastAsia" w:ascii="仿宋" w:hAnsi="仿宋" w:eastAsia="仿宋"/>
          <w:b/>
          <w:bCs/>
          <w:color w:val="auto"/>
          <w:sz w:val="32"/>
          <w:szCs w:val="32"/>
          <w:highlight w:val="none"/>
        </w:rPr>
        <w:t>，</w:t>
      </w:r>
      <w:r>
        <w:rPr>
          <w:rStyle w:val="14"/>
          <w:rFonts w:hint="eastAsia" w:ascii="仿宋" w:hAnsi="仿宋" w:eastAsia="仿宋"/>
          <w:b/>
          <w:bCs/>
          <w:color w:val="auto"/>
          <w:sz w:val="32"/>
          <w:szCs w:val="32"/>
          <w:highlight w:val="none"/>
        </w:rPr>
        <w:t>完成预算</w:t>
      </w:r>
      <w:r>
        <w:rPr>
          <w:rStyle w:val="14"/>
          <w:rFonts w:hint="eastAsia" w:ascii="仿宋" w:hAnsi="仿宋" w:eastAsia="仿宋"/>
          <w:b/>
          <w:bCs/>
          <w:color w:val="auto"/>
          <w:sz w:val="32"/>
          <w:szCs w:val="32"/>
          <w:highlight w:val="none"/>
          <w:lang w:val="en-US" w:eastAsia="zh-CN"/>
        </w:rPr>
        <w:t>100</w:t>
      </w:r>
      <w:r>
        <w:rPr>
          <w:rStyle w:val="14"/>
          <w:rFonts w:ascii="仿宋" w:hAnsi="仿宋" w:eastAsia="仿宋"/>
          <w:b/>
          <w:bCs/>
          <w:color w:val="auto"/>
          <w:sz w:val="32"/>
          <w:szCs w:val="32"/>
          <w:highlight w:val="none"/>
        </w:rPr>
        <w:t>%</w:t>
      </w:r>
      <w:r>
        <w:rPr>
          <w:rStyle w:val="14"/>
          <w:rFonts w:hint="eastAsia" w:ascii="仿宋" w:hAnsi="仿宋" w:eastAsia="仿宋"/>
          <w:b/>
          <w:bCs/>
          <w:color w:val="auto"/>
          <w:sz w:val="32"/>
          <w:szCs w:val="32"/>
          <w:highlight w:val="none"/>
        </w:rPr>
        <w:t>。其中：</w:t>
      </w:r>
      <w:bookmarkEnd w:id="31"/>
      <w:bookmarkEnd w:id="32"/>
      <w:bookmarkEnd w:id="33"/>
    </w:p>
    <w:p>
      <w:pPr>
        <w:spacing w:line="600" w:lineRule="exact"/>
        <w:ind w:firstLine="643" w:firstLineChars="200"/>
        <w:rPr>
          <w:rFonts w:ascii="仿宋" w:hAnsi="仿宋" w:eastAsia="仿宋"/>
          <w:b/>
          <w:bCs/>
          <w:color w:val="auto"/>
          <w:sz w:val="32"/>
          <w:szCs w:val="32"/>
          <w:highlight w:val="none"/>
        </w:rPr>
      </w:pPr>
      <w:r>
        <w:rPr>
          <w:rStyle w:val="14"/>
          <w:rFonts w:ascii="仿宋" w:hAnsi="仿宋" w:eastAsia="仿宋"/>
          <w:b/>
          <w:bCs/>
          <w:color w:val="auto"/>
          <w:sz w:val="32"/>
          <w:szCs w:val="32"/>
          <w:highlight w:val="none"/>
        </w:rPr>
        <w:t>1.</w:t>
      </w:r>
      <w:r>
        <w:rPr>
          <w:rStyle w:val="14"/>
          <w:rFonts w:hint="eastAsia" w:ascii="仿宋" w:hAnsi="仿宋" w:eastAsia="仿宋"/>
          <w:b/>
          <w:bCs/>
          <w:color w:val="auto"/>
          <w:sz w:val="32"/>
          <w:szCs w:val="32"/>
          <w:highlight w:val="none"/>
        </w:rPr>
        <w:t>一般公共服务（类）政府办公厅（室）及相关机构事务（款） 行政运行（项）</w:t>
      </w:r>
      <w:r>
        <w:rPr>
          <w:rStyle w:val="14"/>
          <w:rFonts w:ascii="仿宋" w:hAnsi="仿宋" w:eastAsia="仿宋"/>
          <w:b/>
          <w:bCs/>
          <w:color w:val="auto"/>
          <w:sz w:val="32"/>
          <w:szCs w:val="32"/>
          <w:highlight w:val="none"/>
        </w:rPr>
        <w:t xml:space="preserve">: </w:t>
      </w:r>
      <w:r>
        <w:rPr>
          <w:rStyle w:val="14"/>
          <w:rFonts w:hint="eastAsia" w:ascii="仿宋" w:hAnsi="仿宋" w:eastAsia="仿宋"/>
          <w:b/>
          <w:bCs/>
          <w:color w:val="auto"/>
          <w:sz w:val="32"/>
          <w:szCs w:val="32"/>
          <w:highlight w:val="none"/>
        </w:rPr>
        <w:t>支出决算为</w:t>
      </w:r>
      <w:r>
        <w:rPr>
          <w:rStyle w:val="14"/>
          <w:rFonts w:hint="eastAsia" w:ascii="仿宋" w:hAnsi="仿宋" w:eastAsia="仿宋"/>
          <w:b/>
          <w:bCs/>
          <w:color w:val="auto"/>
          <w:sz w:val="32"/>
          <w:szCs w:val="32"/>
          <w:highlight w:val="none"/>
          <w:lang w:val="en-US" w:eastAsia="zh-CN"/>
        </w:rPr>
        <w:t>195.68</w:t>
      </w:r>
      <w:r>
        <w:rPr>
          <w:rStyle w:val="14"/>
          <w:rFonts w:hint="eastAsia" w:ascii="仿宋" w:hAnsi="仿宋" w:eastAsia="仿宋"/>
          <w:b/>
          <w:bCs/>
          <w:color w:val="auto"/>
          <w:sz w:val="32"/>
          <w:szCs w:val="32"/>
          <w:highlight w:val="none"/>
        </w:rPr>
        <w:t>万元，完成预算</w:t>
      </w:r>
      <w:r>
        <w:rPr>
          <w:rStyle w:val="14"/>
          <w:rFonts w:hint="eastAsia" w:ascii="仿宋" w:hAnsi="仿宋" w:eastAsia="仿宋"/>
          <w:b/>
          <w:bCs/>
          <w:color w:val="auto"/>
          <w:sz w:val="32"/>
          <w:szCs w:val="32"/>
          <w:highlight w:val="none"/>
          <w:lang w:val="en-US" w:eastAsia="zh-CN"/>
        </w:rPr>
        <w:t>100</w:t>
      </w:r>
      <w:r>
        <w:rPr>
          <w:rStyle w:val="14"/>
          <w:rFonts w:ascii="仿宋" w:hAnsi="仿宋" w:eastAsia="仿宋"/>
          <w:b/>
          <w:bCs/>
          <w:color w:val="auto"/>
          <w:sz w:val="32"/>
          <w:szCs w:val="32"/>
          <w:highlight w:val="none"/>
        </w:rPr>
        <w:t>%</w:t>
      </w:r>
      <w:r>
        <w:rPr>
          <w:rFonts w:hint="eastAsia" w:ascii="仿宋_GB2312" w:hAnsi="仿宋_GB2312" w:eastAsia="仿宋_GB2312" w:cs="仿宋_GB2312"/>
          <w:b/>
          <w:bCs/>
          <w:sz w:val="32"/>
          <w:szCs w:val="32"/>
          <w:lang w:val="en-US" w:eastAsia="zh-CN"/>
        </w:rPr>
        <w:t>。</w:t>
      </w:r>
    </w:p>
    <w:p>
      <w:pPr>
        <w:spacing w:line="600" w:lineRule="exact"/>
        <w:ind w:firstLine="643" w:firstLineChars="200"/>
        <w:rPr>
          <w:rFonts w:hint="eastAsia" w:ascii="仿宋_GB2312" w:hAnsi="仿宋_GB2312" w:eastAsia="仿宋_GB2312" w:cs="仿宋_GB2312"/>
          <w:b/>
          <w:bCs/>
          <w:sz w:val="32"/>
          <w:szCs w:val="32"/>
          <w:lang w:val="en-US" w:eastAsia="zh-CN"/>
        </w:rPr>
      </w:pPr>
      <w:bookmarkStart w:id="34" w:name="_Toc15377214"/>
      <w:bookmarkStart w:id="35" w:name="_Toc15396608"/>
      <w:r>
        <w:rPr>
          <w:rStyle w:val="14"/>
          <w:rFonts w:ascii="仿宋" w:hAnsi="仿宋" w:eastAsia="仿宋"/>
          <w:b/>
          <w:bCs/>
          <w:color w:val="auto"/>
          <w:sz w:val="32"/>
          <w:szCs w:val="32"/>
          <w:highlight w:val="none"/>
        </w:rPr>
        <w:t>2.</w:t>
      </w:r>
      <w:r>
        <w:rPr>
          <w:rFonts w:hint="eastAsia" w:ascii="仿宋_GB2312" w:hAnsi="仿宋_GB2312" w:eastAsia="仿宋_GB2312" w:cs="仿宋_GB2312"/>
          <w:b/>
          <w:bCs/>
          <w:sz w:val="32"/>
          <w:szCs w:val="32"/>
          <w:lang w:val="en-US" w:eastAsia="zh-CN"/>
        </w:rPr>
        <w:t>一般公共服务（类）政府办公厅（室）及相关机构事务（款）一般行政管理事务（项）: 支出决算为45.45万元，完成预算100%。</w:t>
      </w:r>
    </w:p>
    <w:p>
      <w:pPr>
        <w:pStyle w:val="2"/>
        <w:ind w:firstLine="643" w:firstLineChars="200"/>
        <w:rPr>
          <w:rFonts w:hint="default"/>
          <w:b/>
          <w:bCs/>
          <w:lang w:val="en-US" w:eastAsia="zh-CN"/>
        </w:rPr>
      </w:pPr>
      <w:r>
        <w:rPr>
          <w:rStyle w:val="14"/>
          <w:rFonts w:hint="eastAsia" w:ascii="仿宋" w:hAnsi="仿宋" w:eastAsia="仿宋" w:cstheme="minorBidi"/>
          <w:b/>
          <w:bCs/>
          <w:color w:val="auto"/>
          <w:kern w:val="2"/>
          <w:sz w:val="32"/>
          <w:szCs w:val="32"/>
          <w:highlight w:val="none"/>
          <w:lang w:val="en-US" w:eastAsia="zh-CN" w:bidi="ar-SA"/>
        </w:rPr>
        <w:t>3.</w:t>
      </w:r>
      <w:r>
        <w:rPr>
          <w:rFonts w:hint="eastAsia" w:ascii="仿宋_GB2312" w:hAnsi="仿宋_GB2312" w:eastAsia="仿宋_GB2312" w:cs="仿宋_GB2312"/>
          <w:b/>
          <w:bCs/>
          <w:sz w:val="32"/>
          <w:szCs w:val="32"/>
          <w:lang w:val="en-US" w:eastAsia="zh-CN"/>
        </w:rPr>
        <w:t>一般公共服务（类）政府办公厅（室）及相关机构事务（款）信访事务（项）: 支出决算为</w:t>
      </w:r>
      <w:r>
        <w:rPr>
          <w:rFonts w:hint="eastAsia" w:hAnsi="仿宋_GB2312" w:cs="仿宋_GB2312"/>
          <w:b/>
          <w:bCs/>
          <w:sz w:val="32"/>
          <w:szCs w:val="32"/>
          <w:lang w:val="en-US" w:eastAsia="zh-CN"/>
        </w:rPr>
        <w:t>26.93</w:t>
      </w:r>
      <w:r>
        <w:rPr>
          <w:rFonts w:hint="eastAsia" w:ascii="仿宋_GB2312" w:hAnsi="仿宋_GB2312" w:eastAsia="仿宋_GB2312" w:cs="仿宋_GB2312"/>
          <w:b/>
          <w:bCs/>
          <w:sz w:val="32"/>
          <w:szCs w:val="32"/>
          <w:lang w:val="en-US" w:eastAsia="zh-CN"/>
        </w:rPr>
        <w:t>万元，完成预算100%。</w:t>
      </w:r>
    </w:p>
    <w:p>
      <w:pPr>
        <w:spacing w:line="600" w:lineRule="exact"/>
        <w:ind w:firstLine="643" w:firstLineChars="200"/>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4.社会保障和就业（类）行政事业单位养老支出（款）机关事业单位基本养老保险缴费支出（项）: 支出决算为16.98万元，完成预算100%。</w:t>
      </w:r>
    </w:p>
    <w:p>
      <w:pPr>
        <w:spacing w:line="600" w:lineRule="exact"/>
        <w:ind w:firstLine="643" w:firstLineChars="200"/>
        <w:rPr>
          <w:rFonts w:hint="eastAsia"/>
          <w:b/>
          <w:bCs/>
          <w:lang w:val="en-US" w:eastAsia="zh-CN"/>
        </w:rPr>
      </w:pPr>
      <w:r>
        <w:rPr>
          <w:rFonts w:hint="eastAsia" w:ascii="仿宋_GB2312" w:hAnsi="仿宋_GB2312" w:eastAsia="仿宋_GB2312" w:cs="仿宋_GB2312"/>
          <w:b/>
          <w:bCs/>
          <w:kern w:val="0"/>
          <w:sz w:val="32"/>
          <w:szCs w:val="32"/>
          <w:lang w:val="en-US" w:eastAsia="zh-CN" w:bidi="ar-SA"/>
        </w:rPr>
        <w:t>5、社会保障和就业（类）行政事业单位养老支出（款） 机关事业单位职业年金缴费支出（项）: 支出决算为4.31万元，完成预算100%。</w:t>
      </w:r>
    </w:p>
    <w:p>
      <w:pPr>
        <w:spacing w:line="600" w:lineRule="exact"/>
        <w:ind w:firstLine="643" w:firstLineChars="200"/>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6.卫生健康（类）行政事业单位医疗（款）行政单位医疗（项）:支出决算为8.56万元，完成预算100%。</w:t>
      </w:r>
    </w:p>
    <w:p>
      <w:pPr>
        <w:pStyle w:val="2"/>
        <w:ind w:firstLine="643" w:firstLineChars="200"/>
        <w:rPr>
          <w:rFonts w:hint="eastAsia" w:ascii="仿宋_GB2312" w:hAnsi="仿宋_GB2312" w:eastAsia="仿宋_GB2312" w:cs="仿宋_GB2312"/>
          <w:b/>
          <w:bCs/>
          <w:kern w:val="0"/>
          <w:sz w:val="32"/>
          <w:szCs w:val="32"/>
          <w:lang w:val="en-US" w:eastAsia="zh-CN" w:bidi="ar-SA"/>
        </w:rPr>
      </w:pPr>
      <w:r>
        <w:rPr>
          <w:rFonts w:hint="eastAsia" w:hAnsi="仿宋_GB2312" w:cs="仿宋_GB2312"/>
          <w:b/>
          <w:bCs/>
          <w:kern w:val="0"/>
          <w:sz w:val="32"/>
          <w:szCs w:val="32"/>
          <w:lang w:val="en-US" w:eastAsia="zh-CN" w:bidi="ar-SA"/>
        </w:rPr>
        <w:t>7.住房保障</w:t>
      </w:r>
      <w:r>
        <w:rPr>
          <w:rFonts w:hint="eastAsia" w:ascii="仿宋_GB2312" w:hAnsi="仿宋_GB2312" w:eastAsia="仿宋_GB2312" w:cs="仿宋_GB2312"/>
          <w:b/>
          <w:bCs/>
          <w:kern w:val="0"/>
          <w:sz w:val="32"/>
          <w:szCs w:val="32"/>
          <w:lang w:val="en-US" w:eastAsia="zh-CN" w:bidi="ar-SA"/>
        </w:rPr>
        <w:t>（类）住房改革支出（款）住房公积金（项）:支出决算为</w:t>
      </w:r>
      <w:r>
        <w:rPr>
          <w:rFonts w:hint="eastAsia" w:hAnsi="仿宋_GB2312" w:cs="仿宋_GB2312"/>
          <w:b/>
          <w:bCs/>
          <w:kern w:val="0"/>
          <w:sz w:val="32"/>
          <w:szCs w:val="32"/>
          <w:lang w:val="en-US" w:eastAsia="zh-CN" w:bidi="ar-SA"/>
        </w:rPr>
        <w:t>26.66</w:t>
      </w:r>
      <w:r>
        <w:rPr>
          <w:rFonts w:hint="eastAsia" w:ascii="仿宋_GB2312" w:hAnsi="仿宋_GB2312" w:eastAsia="仿宋_GB2312" w:cs="仿宋_GB2312"/>
          <w:b/>
          <w:bCs/>
          <w:kern w:val="0"/>
          <w:sz w:val="32"/>
          <w:szCs w:val="32"/>
          <w:lang w:val="en-US" w:eastAsia="zh-CN" w:bidi="ar-SA"/>
        </w:rPr>
        <w:t>万元，完成预算100%。</w:t>
      </w:r>
    </w:p>
    <w:p>
      <w:pPr>
        <w:pStyle w:val="2"/>
        <w:ind w:firstLine="643" w:firstLineChars="200"/>
        <w:rPr>
          <w:rFonts w:ascii="仿宋" w:hAnsi="仿宋" w:eastAsia="仿宋"/>
          <w:b/>
          <w:bCs/>
          <w:color w:val="auto"/>
          <w:sz w:val="32"/>
          <w:szCs w:val="32"/>
          <w:highlight w:val="none"/>
        </w:rPr>
      </w:pPr>
      <w:r>
        <w:rPr>
          <w:rFonts w:hint="eastAsia" w:hAnsi="仿宋_GB2312" w:cs="仿宋_GB2312"/>
          <w:b/>
          <w:bCs/>
          <w:kern w:val="0"/>
          <w:sz w:val="32"/>
          <w:szCs w:val="32"/>
          <w:lang w:val="en-US" w:eastAsia="zh-CN" w:bidi="ar-SA"/>
        </w:rPr>
        <w:t>8.住房保障</w:t>
      </w:r>
      <w:r>
        <w:rPr>
          <w:rFonts w:hint="eastAsia" w:ascii="仿宋_GB2312" w:hAnsi="仿宋_GB2312" w:eastAsia="仿宋_GB2312" w:cs="仿宋_GB2312"/>
          <w:b/>
          <w:bCs/>
          <w:kern w:val="0"/>
          <w:sz w:val="32"/>
          <w:szCs w:val="32"/>
          <w:lang w:val="en-US" w:eastAsia="zh-CN" w:bidi="ar-SA"/>
        </w:rPr>
        <w:t>（类）住房改革支出（款）购房补贴（项）:支出决算为</w:t>
      </w:r>
      <w:r>
        <w:rPr>
          <w:rFonts w:hint="eastAsia" w:hAnsi="仿宋_GB2312" w:cs="仿宋_GB2312"/>
          <w:b/>
          <w:bCs/>
          <w:kern w:val="0"/>
          <w:sz w:val="32"/>
          <w:szCs w:val="32"/>
          <w:lang w:val="en-US" w:eastAsia="zh-CN" w:bidi="ar-SA"/>
        </w:rPr>
        <w:t>8.00</w:t>
      </w:r>
      <w:r>
        <w:rPr>
          <w:rFonts w:hint="eastAsia" w:ascii="仿宋_GB2312" w:hAnsi="仿宋_GB2312" w:eastAsia="仿宋_GB2312" w:cs="仿宋_GB2312"/>
          <w:b/>
          <w:bCs/>
          <w:kern w:val="0"/>
          <w:sz w:val="32"/>
          <w:szCs w:val="32"/>
          <w:lang w:val="en-US" w:eastAsia="zh-CN" w:bidi="ar-SA"/>
        </w:rPr>
        <w:t>万元，完成预算100%。</w:t>
      </w:r>
    </w:p>
    <w:p>
      <w:pPr>
        <w:tabs>
          <w:tab w:val="right" w:pos="8306"/>
        </w:tabs>
        <w:spacing w:line="600" w:lineRule="exact"/>
        <w:ind w:firstLine="640"/>
        <w:outlineLvl w:val="1"/>
        <w:rPr>
          <w:rStyle w:val="25"/>
          <w:b/>
          <w:bCs/>
          <w:color w:val="auto"/>
          <w:highlight w:val="none"/>
        </w:rPr>
      </w:pPr>
      <w:r>
        <w:rPr>
          <w:rFonts w:hint="eastAsia" w:ascii="黑体" w:eastAsia="黑体"/>
          <w:b/>
          <w:bCs/>
          <w:color w:val="auto"/>
          <w:sz w:val="32"/>
          <w:szCs w:val="32"/>
          <w:highlight w:val="none"/>
        </w:rPr>
        <w:t>六、</w:t>
      </w:r>
      <w:r>
        <w:rPr>
          <w:rFonts w:hint="eastAsia" w:ascii="黑体" w:hAnsi="黑体" w:eastAsia="黑体"/>
          <w:b/>
          <w:bCs/>
          <w:color w:val="auto"/>
          <w:sz w:val="32"/>
          <w:szCs w:val="32"/>
          <w:highlight w:val="none"/>
        </w:rPr>
        <w:t>一</w:t>
      </w:r>
      <w:r>
        <w:rPr>
          <w:rStyle w:val="25"/>
          <w:rFonts w:hint="eastAsia" w:ascii="黑体" w:hAnsi="黑体" w:eastAsia="黑体"/>
          <w:b/>
          <w:bCs/>
          <w:color w:val="auto"/>
          <w:highlight w:val="none"/>
        </w:rPr>
        <w:t>般公共预算财政拨款基本支出决算情况说明</w:t>
      </w:r>
      <w:bookmarkEnd w:id="34"/>
      <w:bookmarkEnd w:id="35"/>
      <w:r>
        <w:rPr>
          <w:rStyle w:val="25"/>
          <w:rFonts w:ascii="黑体" w:hAnsi="黑体" w:eastAsia="黑体"/>
          <w:b/>
          <w:bCs/>
          <w:color w:val="auto"/>
          <w:highlight w:val="none"/>
        </w:rPr>
        <w:tab/>
      </w:r>
    </w:p>
    <w:p>
      <w:pPr>
        <w:spacing w:line="600" w:lineRule="exact"/>
        <w:ind w:firstLine="645"/>
        <w:rPr>
          <w:rFonts w:ascii="仿宋" w:hAnsi="仿宋" w:eastAsia="仿宋"/>
          <w:b/>
          <w:bCs/>
          <w:color w:val="auto"/>
          <w:sz w:val="32"/>
          <w:szCs w:val="32"/>
          <w:highlight w:val="none"/>
        </w:rPr>
      </w:pPr>
      <w:r>
        <w:rPr>
          <w:rFonts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年一般公共预算财政拨款基本支出</w:t>
      </w:r>
      <w:r>
        <w:rPr>
          <w:rFonts w:hint="eastAsia" w:ascii="仿宋" w:hAnsi="仿宋" w:eastAsia="仿宋"/>
          <w:b/>
          <w:bCs/>
          <w:color w:val="auto"/>
          <w:sz w:val="32"/>
          <w:szCs w:val="32"/>
          <w:highlight w:val="none"/>
          <w:lang w:val="en-US" w:eastAsia="zh-CN"/>
        </w:rPr>
        <w:t>260.44</w:t>
      </w:r>
      <w:r>
        <w:rPr>
          <w:rFonts w:hint="eastAsia" w:ascii="仿宋" w:hAnsi="仿宋" w:eastAsia="仿宋"/>
          <w:b/>
          <w:bCs/>
          <w:color w:val="auto"/>
          <w:sz w:val="32"/>
          <w:szCs w:val="32"/>
          <w:highlight w:val="none"/>
        </w:rPr>
        <w:t>万元，其中：</w:t>
      </w:r>
    </w:p>
    <w:p>
      <w:pPr>
        <w:spacing w:line="600" w:lineRule="exact"/>
        <w:ind w:firstLine="645"/>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人员经费</w:t>
      </w:r>
      <w:r>
        <w:rPr>
          <w:rFonts w:hint="eastAsia" w:ascii="仿宋" w:hAnsi="仿宋" w:eastAsia="仿宋"/>
          <w:b/>
          <w:bCs/>
          <w:color w:val="auto"/>
          <w:sz w:val="32"/>
          <w:szCs w:val="32"/>
          <w:highlight w:val="none"/>
          <w:lang w:val="en-US" w:eastAsia="zh-CN"/>
        </w:rPr>
        <w:t>222.99</w:t>
      </w:r>
      <w:r>
        <w:rPr>
          <w:rFonts w:hint="eastAsia" w:ascii="仿宋" w:hAnsi="仿宋" w:eastAsia="仿宋"/>
          <w:b/>
          <w:bCs/>
          <w:color w:val="auto"/>
          <w:sz w:val="32"/>
          <w:szCs w:val="32"/>
          <w:highlight w:val="none"/>
        </w:rPr>
        <w:t>万元，主要包括：基本工资、津贴补贴、奖金、机关事业单位基本养老保险缴费、职业年金缴费、其他社会保障缴费、其他工资福利支出、住房公积金、其他对个人和家庭的补助支出等。</w:t>
      </w:r>
      <w:r>
        <w:rPr>
          <w:rFonts w:ascii="仿宋" w:hAnsi="仿宋" w:eastAsia="仿宋"/>
          <w:b/>
          <w:bCs/>
          <w:color w:val="auto"/>
          <w:sz w:val="32"/>
          <w:szCs w:val="32"/>
          <w:highlight w:val="none"/>
        </w:rPr>
        <w:br w:type="textWrapping"/>
      </w:r>
      <w:r>
        <w:rPr>
          <w:rFonts w:hint="eastAsia" w:ascii="仿宋" w:hAnsi="仿宋" w:eastAsia="仿宋"/>
          <w:b/>
          <w:bCs/>
          <w:color w:val="auto"/>
          <w:sz w:val="32"/>
          <w:szCs w:val="32"/>
          <w:highlight w:val="none"/>
        </w:rPr>
        <w:t>　　公用经费</w:t>
      </w:r>
      <w:r>
        <w:rPr>
          <w:rFonts w:hint="eastAsia" w:ascii="仿宋" w:hAnsi="仿宋" w:eastAsia="仿宋"/>
          <w:b/>
          <w:bCs/>
          <w:color w:val="auto"/>
          <w:sz w:val="32"/>
          <w:szCs w:val="32"/>
          <w:highlight w:val="none"/>
          <w:lang w:val="en-US" w:eastAsia="zh-CN"/>
        </w:rPr>
        <w:t>37.44</w:t>
      </w:r>
      <w:r>
        <w:rPr>
          <w:rFonts w:hint="eastAsia" w:ascii="仿宋" w:hAnsi="仿宋" w:eastAsia="仿宋"/>
          <w:b/>
          <w:bCs/>
          <w:color w:val="auto"/>
          <w:sz w:val="32"/>
          <w:szCs w:val="32"/>
          <w:highlight w:val="none"/>
        </w:rPr>
        <w:t>万元，主要包括：办公费、印刷费、水费、电费、邮电费、差旅费、维修（护）费、租赁费、会议费、培训费、公务接待费、劳务费、工会经费、福利费、其他交通费、其他商品和服务支出等。</w:t>
      </w:r>
    </w:p>
    <w:p>
      <w:pPr>
        <w:spacing w:line="600" w:lineRule="exact"/>
        <w:ind w:firstLine="640"/>
        <w:outlineLvl w:val="1"/>
        <w:rPr>
          <w:rStyle w:val="25"/>
          <w:rFonts w:ascii="黑体" w:hAnsi="黑体" w:eastAsia="黑体"/>
          <w:b/>
          <w:bCs/>
          <w:color w:val="auto"/>
          <w:highlight w:val="none"/>
        </w:rPr>
      </w:pPr>
      <w:bookmarkStart w:id="36" w:name="_Toc15377215"/>
      <w:bookmarkStart w:id="37" w:name="_Toc15396609"/>
      <w:r>
        <w:rPr>
          <w:rFonts w:hint="eastAsia" w:ascii="黑体" w:eastAsia="黑体"/>
          <w:b/>
          <w:bCs/>
          <w:color w:val="auto"/>
          <w:sz w:val="32"/>
          <w:szCs w:val="32"/>
          <w:highlight w:val="none"/>
        </w:rPr>
        <w:t>七、</w:t>
      </w:r>
      <w:r>
        <w:rPr>
          <w:rStyle w:val="25"/>
          <w:rFonts w:hint="eastAsia" w:ascii="黑体" w:hAnsi="黑体" w:eastAsia="黑体"/>
          <w:b/>
          <w:bCs/>
          <w:color w:val="auto"/>
          <w:highlight w:val="none"/>
        </w:rPr>
        <w:t>“三公”经费财政拨款支出决算情况说明</w:t>
      </w:r>
      <w:bookmarkEnd w:id="36"/>
      <w:bookmarkEnd w:id="37"/>
    </w:p>
    <w:p>
      <w:pPr>
        <w:spacing w:line="600" w:lineRule="exact"/>
        <w:ind w:firstLine="640"/>
        <w:outlineLvl w:val="2"/>
        <w:rPr>
          <w:rFonts w:ascii="仿宋" w:hAnsi="仿宋" w:eastAsia="仿宋"/>
          <w:b/>
          <w:bCs/>
          <w:color w:val="auto"/>
          <w:sz w:val="32"/>
          <w:szCs w:val="32"/>
          <w:highlight w:val="none"/>
        </w:rPr>
      </w:pPr>
      <w:bookmarkStart w:id="38" w:name="_Toc15377216"/>
      <w:r>
        <w:rPr>
          <w:rFonts w:hint="eastAsia" w:ascii="仿宋" w:hAnsi="仿宋" w:eastAsia="仿宋"/>
          <w:b/>
          <w:bCs/>
          <w:color w:val="auto"/>
          <w:sz w:val="32"/>
          <w:szCs w:val="32"/>
          <w:highlight w:val="none"/>
        </w:rPr>
        <w:t>（一）“三公”经费财政拨款支出决算总体情况说明</w:t>
      </w:r>
      <w:bookmarkEnd w:id="38"/>
    </w:p>
    <w:p>
      <w:pPr>
        <w:spacing w:line="600" w:lineRule="exact"/>
        <w:ind w:firstLine="640"/>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2021年“三公”经费财政拨款支出决算为0.15万元，完成预算15%，决算数小于预算数的主要原因：一是坚持厉行节约、控制标准、限制陪同人数、压缩接待费支出；二是受疫情影响接待减少。</w:t>
      </w:r>
    </w:p>
    <w:p>
      <w:pPr>
        <w:spacing w:line="600" w:lineRule="exact"/>
        <w:ind w:firstLine="640"/>
        <w:outlineLvl w:val="2"/>
        <w:rPr>
          <w:rFonts w:ascii="仿宋" w:hAnsi="仿宋" w:eastAsia="仿宋"/>
          <w:b/>
          <w:bCs/>
          <w:color w:val="auto"/>
          <w:sz w:val="32"/>
          <w:szCs w:val="32"/>
          <w:highlight w:val="none"/>
        </w:rPr>
      </w:pPr>
      <w:bookmarkStart w:id="39" w:name="_Toc15377217"/>
      <w:r>
        <w:rPr>
          <w:rFonts w:hint="eastAsia" w:ascii="仿宋" w:hAnsi="仿宋" w:eastAsia="仿宋"/>
          <w:b/>
          <w:bCs/>
          <w:color w:val="auto"/>
          <w:sz w:val="32"/>
          <w:szCs w:val="32"/>
          <w:highlight w:val="none"/>
        </w:rPr>
        <w:t>（二）“三公”经费财政拨款支出决算具体情况说明</w:t>
      </w:r>
      <w:bookmarkEnd w:id="39"/>
    </w:p>
    <w:p>
      <w:pPr>
        <w:spacing w:line="600" w:lineRule="exact"/>
        <w:ind w:firstLine="640"/>
        <w:rPr>
          <w:rFonts w:ascii="仿宋" w:hAnsi="仿宋" w:eastAsia="仿宋"/>
          <w:b/>
          <w:bCs/>
          <w:color w:val="auto"/>
          <w:sz w:val="32"/>
          <w:szCs w:val="32"/>
          <w:highlight w:val="none"/>
        </w:rPr>
      </w:pPr>
      <w:r>
        <w:rPr>
          <w:rFonts w:hint="eastAsia" w:ascii="仿宋_GB2312" w:hAnsi="仿宋_GB2312" w:eastAsia="仿宋_GB2312" w:cs="仿宋_GB2312"/>
          <w:b/>
          <w:bCs/>
          <w:sz w:val="32"/>
          <w:szCs w:val="32"/>
          <w:lang w:val="en-US" w:eastAsia="zh-CN"/>
        </w:rPr>
        <w:t>2021年“三公”经费财政拨款支出决算中，因公出国（境）费支出决算0万元，占0%；公务用车购置及运行维护费支出决算0万元，占0%；</w:t>
      </w:r>
      <w:r>
        <w:rPr>
          <w:rFonts w:hint="eastAsia" w:ascii="仿宋" w:hAnsi="仿宋" w:eastAsia="仿宋"/>
          <w:b/>
          <w:bCs/>
          <w:color w:val="auto"/>
          <w:sz w:val="32"/>
          <w:szCs w:val="32"/>
          <w:highlight w:val="none"/>
        </w:rPr>
        <w:t>公务接待费支出决算</w:t>
      </w:r>
      <w:r>
        <w:rPr>
          <w:rFonts w:hint="eastAsia" w:ascii="仿宋" w:hAnsi="仿宋" w:eastAsia="仿宋"/>
          <w:b/>
          <w:bCs/>
          <w:color w:val="auto"/>
          <w:sz w:val="32"/>
          <w:szCs w:val="32"/>
          <w:highlight w:val="none"/>
          <w:lang w:val="en-US" w:eastAsia="zh-CN"/>
        </w:rPr>
        <w:t>0.15</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100</w:t>
      </w:r>
      <w:bookmarkStart w:id="54" w:name="_GoBack"/>
      <w:bookmarkEnd w:id="54"/>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。具体情况如下：</w:t>
      </w:r>
    </w:p>
    <w:p>
      <w:pPr>
        <w:spacing w:line="600" w:lineRule="exact"/>
        <w:ind w:firstLine="640"/>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rPr>
        <w:t>（图7：“三公”经费财政拨款支出结构）</w:t>
      </w:r>
    </w:p>
    <w:p>
      <w:pPr>
        <w:pStyle w:val="2"/>
        <w:jc w:val="center"/>
        <w:rPr>
          <w:b/>
          <w:bCs/>
        </w:rPr>
      </w:pPr>
      <w:r>
        <w:rPr>
          <w:rFonts w:hint="eastAsia"/>
          <w:b/>
          <w:bCs/>
          <w:lang w:val="en-US" w:eastAsia="zh-CN"/>
        </w:rPr>
        <w:drawing>
          <wp:inline distT="0" distB="0" distL="114300" distR="114300">
            <wp:extent cx="3483610" cy="1744345"/>
            <wp:effectExtent l="0" t="0" r="2540" b="825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2"/>
                    <a:stretch>
                      <a:fillRect/>
                    </a:stretch>
                  </pic:blipFill>
                  <pic:spPr>
                    <a:xfrm>
                      <a:off x="0" y="0"/>
                      <a:ext cx="3483610" cy="1744345"/>
                    </a:xfrm>
                    <a:prstGeom prst="rect">
                      <a:avLst/>
                    </a:prstGeom>
                  </pic:spPr>
                </pic:pic>
              </a:graphicData>
            </a:graphic>
          </wp:inline>
        </w:drawing>
      </w:r>
    </w:p>
    <w:p>
      <w:pPr>
        <w:spacing w:line="600" w:lineRule="exact"/>
        <w:ind w:firstLine="645"/>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1.因公出国（境）经费支出0万元，年初未安排预算，因公出国（境）支出决算较2020年无变化。</w:t>
      </w:r>
    </w:p>
    <w:p>
      <w:pPr>
        <w:spacing w:line="600" w:lineRule="exact"/>
        <w:ind w:firstLine="640"/>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rPr>
        <w:t>2.公务用车购置及运行维护费支出</w:t>
      </w:r>
      <w:r>
        <w:rPr>
          <w:rFonts w:hint="eastAsia" w:ascii="仿宋_GB2312" w:eastAsia="仿宋_GB2312"/>
          <w:b/>
          <w:bCs/>
          <w:color w:val="auto"/>
          <w:sz w:val="32"/>
          <w:szCs w:val="32"/>
          <w:highlight w:val="none"/>
          <w:lang w:val="en-US" w:eastAsia="zh-CN"/>
        </w:rPr>
        <w:t>0</w:t>
      </w:r>
      <w:r>
        <w:rPr>
          <w:rFonts w:hint="eastAsia" w:ascii="仿宋_GB2312" w:eastAsia="仿宋_GB2312"/>
          <w:b/>
          <w:bCs/>
          <w:color w:val="auto"/>
          <w:sz w:val="32"/>
          <w:szCs w:val="32"/>
          <w:highlight w:val="none"/>
        </w:rPr>
        <w:t>万元,</w:t>
      </w:r>
      <w:r>
        <w:rPr>
          <w:rFonts w:hint="eastAsia" w:ascii="仿宋_GB2312" w:eastAsia="仿宋_GB2312"/>
          <w:b/>
          <w:bCs/>
          <w:color w:val="auto"/>
          <w:sz w:val="32"/>
          <w:szCs w:val="32"/>
          <w:highlight w:val="none"/>
          <w:lang w:val="en-US" w:eastAsia="zh-CN"/>
        </w:rPr>
        <w:t>年初未安排预算，</w:t>
      </w:r>
      <w:r>
        <w:rPr>
          <w:rFonts w:hint="eastAsia" w:ascii="仿宋_GB2312" w:eastAsia="仿宋_GB2312"/>
          <w:b/>
          <w:bCs/>
          <w:color w:val="auto"/>
          <w:sz w:val="32"/>
          <w:szCs w:val="32"/>
          <w:highlight w:val="none"/>
        </w:rPr>
        <w:t>公务用车购置及运行维护费支出决算</w:t>
      </w:r>
      <w:r>
        <w:rPr>
          <w:rFonts w:hint="eastAsia" w:ascii="仿宋_GB2312" w:eastAsia="仿宋_GB2312"/>
          <w:b/>
          <w:bCs/>
          <w:color w:val="auto"/>
          <w:sz w:val="32"/>
          <w:szCs w:val="32"/>
          <w:highlight w:val="none"/>
          <w:lang w:val="en-US" w:eastAsia="zh-CN"/>
        </w:rPr>
        <w:t>决算较2020年无变化。截止2021年12月31日，</w:t>
      </w:r>
      <w:r>
        <w:rPr>
          <w:rFonts w:hint="eastAsia" w:ascii="仿宋_GB2312" w:eastAsia="仿宋_GB2312"/>
          <w:b/>
          <w:bCs/>
          <w:color w:val="auto"/>
          <w:sz w:val="32"/>
          <w:szCs w:val="32"/>
          <w:highlight w:val="none"/>
          <w:lang w:eastAsia="zh-CN"/>
        </w:rPr>
        <w:t>我单位无公务用车。</w:t>
      </w:r>
    </w:p>
    <w:p>
      <w:pPr>
        <w:spacing w:line="600" w:lineRule="exact"/>
        <w:ind w:firstLine="640"/>
        <w:rPr>
          <w:rFonts w:ascii="仿宋_GB2312" w:eastAsia="仿宋_GB2312"/>
          <w:b/>
          <w:bCs/>
          <w:color w:val="auto"/>
          <w:sz w:val="32"/>
          <w:szCs w:val="32"/>
          <w:highlight w:val="none"/>
        </w:rPr>
      </w:pPr>
      <w:r>
        <w:rPr>
          <w:rFonts w:ascii="仿宋_GB2312" w:eastAsia="仿宋_GB2312"/>
          <w:b/>
          <w:bCs/>
          <w:color w:val="auto"/>
          <w:sz w:val="32"/>
          <w:szCs w:val="32"/>
          <w:highlight w:val="none"/>
        </w:rPr>
        <w:t>3.</w:t>
      </w:r>
      <w:r>
        <w:rPr>
          <w:rFonts w:hint="eastAsia" w:ascii="仿宋_GB2312" w:eastAsia="仿宋_GB2312"/>
          <w:b/>
          <w:bCs/>
          <w:color w:val="auto"/>
          <w:sz w:val="32"/>
          <w:szCs w:val="32"/>
          <w:highlight w:val="none"/>
        </w:rPr>
        <w:t>公务接待费支出</w:t>
      </w:r>
      <w:r>
        <w:rPr>
          <w:rFonts w:hint="eastAsia" w:ascii="仿宋_GB2312" w:eastAsia="仿宋_GB2312"/>
          <w:b/>
          <w:bCs/>
          <w:color w:val="auto"/>
          <w:sz w:val="32"/>
          <w:szCs w:val="32"/>
          <w:highlight w:val="none"/>
          <w:lang w:val="en-US" w:eastAsia="zh-CN"/>
        </w:rPr>
        <w:t>0.15</w:t>
      </w:r>
      <w:r>
        <w:rPr>
          <w:rFonts w:hint="eastAsia" w:ascii="仿宋_GB2312" w:eastAsia="仿宋_GB2312"/>
          <w:b/>
          <w:bCs/>
          <w:color w:val="auto"/>
          <w:sz w:val="32"/>
          <w:szCs w:val="32"/>
          <w:highlight w:val="none"/>
        </w:rPr>
        <w:t>万元，</w:t>
      </w:r>
      <w:r>
        <w:rPr>
          <w:rStyle w:val="14"/>
          <w:rFonts w:hint="eastAsia" w:ascii="仿宋" w:hAnsi="仿宋" w:eastAsia="仿宋"/>
          <w:b/>
          <w:bCs/>
          <w:color w:val="auto"/>
          <w:sz w:val="32"/>
          <w:szCs w:val="32"/>
          <w:highlight w:val="none"/>
        </w:rPr>
        <w:t>完成预算</w:t>
      </w:r>
      <w:r>
        <w:rPr>
          <w:rStyle w:val="14"/>
          <w:rFonts w:hint="eastAsia" w:ascii="仿宋" w:hAnsi="仿宋" w:eastAsia="仿宋"/>
          <w:b/>
          <w:bCs/>
          <w:color w:val="auto"/>
          <w:sz w:val="32"/>
          <w:szCs w:val="32"/>
          <w:highlight w:val="none"/>
          <w:lang w:val="en-US" w:eastAsia="zh-CN"/>
        </w:rPr>
        <w:t>15</w:t>
      </w:r>
      <w:r>
        <w:rPr>
          <w:rStyle w:val="14"/>
          <w:rFonts w:ascii="仿宋" w:hAnsi="仿宋" w:eastAsia="仿宋"/>
          <w:b/>
          <w:bCs/>
          <w:color w:val="auto"/>
          <w:sz w:val="32"/>
          <w:szCs w:val="32"/>
          <w:highlight w:val="none"/>
        </w:rPr>
        <w:t>%</w:t>
      </w:r>
      <w:r>
        <w:rPr>
          <w:rStyle w:val="14"/>
          <w:rFonts w:hint="eastAsia" w:ascii="仿宋" w:hAnsi="仿宋" w:eastAsia="仿宋"/>
          <w:b/>
          <w:bCs/>
          <w:color w:val="auto"/>
          <w:sz w:val="32"/>
          <w:szCs w:val="32"/>
          <w:highlight w:val="none"/>
        </w:rPr>
        <w:t>。</w:t>
      </w:r>
      <w:r>
        <w:rPr>
          <w:rFonts w:hint="eastAsia" w:ascii="仿宋_GB2312" w:eastAsia="仿宋_GB2312"/>
          <w:b/>
          <w:bCs/>
          <w:color w:val="auto"/>
          <w:sz w:val="32"/>
          <w:szCs w:val="32"/>
          <w:highlight w:val="none"/>
        </w:rPr>
        <w:t>公务接待费支出决算比</w:t>
      </w:r>
      <w:r>
        <w:rPr>
          <w:rFonts w:ascii="仿宋_GB2312" w:eastAsia="仿宋_GB2312"/>
          <w:b/>
          <w:bCs/>
          <w:color w:val="auto"/>
          <w:sz w:val="32"/>
          <w:szCs w:val="32"/>
          <w:highlight w:val="none"/>
        </w:rPr>
        <w:t>20</w:t>
      </w:r>
      <w:r>
        <w:rPr>
          <w:rFonts w:hint="eastAsia" w:ascii="仿宋_GB2312" w:eastAsia="仿宋_GB2312"/>
          <w:b/>
          <w:bCs/>
          <w:color w:val="auto"/>
          <w:sz w:val="32"/>
          <w:szCs w:val="32"/>
          <w:highlight w:val="none"/>
          <w:lang w:val="en-US" w:eastAsia="zh-CN"/>
        </w:rPr>
        <w:t>20</w:t>
      </w:r>
      <w:r>
        <w:rPr>
          <w:rFonts w:hint="eastAsia" w:ascii="仿宋_GB2312" w:eastAsia="仿宋_GB2312"/>
          <w:b/>
          <w:bCs/>
          <w:color w:val="auto"/>
          <w:sz w:val="32"/>
          <w:szCs w:val="32"/>
          <w:highlight w:val="none"/>
        </w:rPr>
        <w:t>年增加</w:t>
      </w:r>
      <w:r>
        <w:rPr>
          <w:rFonts w:hint="eastAsia" w:ascii="仿宋_GB2312" w:eastAsia="仿宋_GB2312"/>
          <w:b/>
          <w:bCs/>
          <w:color w:val="auto"/>
          <w:sz w:val="32"/>
          <w:szCs w:val="32"/>
          <w:highlight w:val="none"/>
          <w:lang w:val="en-US" w:eastAsia="zh-CN"/>
        </w:rPr>
        <w:t>0.06</w:t>
      </w:r>
      <w:r>
        <w:rPr>
          <w:rFonts w:hint="eastAsia" w:ascii="仿宋_GB2312" w:eastAsia="仿宋_GB2312"/>
          <w:b/>
          <w:bCs/>
          <w:color w:val="auto"/>
          <w:sz w:val="32"/>
          <w:szCs w:val="32"/>
          <w:highlight w:val="none"/>
        </w:rPr>
        <w:t>万元，增长</w:t>
      </w:r>
      <w:r>
        <w:rPr>
          <w:rFonts w:hint="eastAsia" w:ascii="仿宋_GB2312" w:eastAsia="仿宋_GB2312"/>
          <w:b/>
          <w:bCs/>
          <w:color w:val="auto"/>
          <w:sz w:val="32"/>
          <w:szCs w:val="32"/>
          <w:highlight w:val="none"/>
          <w:lang w:val="en-US" w:eastAsia="zh-CN"/>
        </w:rPr>
        <w:t>29</w:t>
      </w:r>
      <w:r>
        <w:rPr>
          <w:rFonts w:ascii="仿宋_GB2312" w:eastAsia="仿宋_GB2312"/>
          <w:b/>
          <w:bCs/>
          <w:color w:val="auto"/>
          <w:sz w:val="32"/>
          <w:szCs w:val="32"/>
          <w:highlight w:val="none"/>
        </w:rPr>
        <w:t>%</w:t>
      </w:r>
      <w:r>
        <w:rPr>
          <w:rFonts w:hint="eastAsia" w:ascii="仿宋_GB2312" w:eastAsia="仿宋_GB2312"/>
          <w:b/>
          <w:bCs/>
          <w:color w:val="auto"/>
          <w:sz w:val="32"/>
          <w:szCs w:val="32"/>
          <w:highlight w:val="none"/>
        </w:rPr>
        <w:t>。主要原因</w:t>
      </w:r>
      <w:r>
        <w:rPr>
          <w:rFonts w:hint="eastAsia" w:ascii="仿宋_GB2312" w:eastAsia="仿宋_GB2312"/>
          <w:b/>
          <w:bCs/>
          <w:color w:val="auto"/>
          <w:sz w:val="32"/>
          <w:szCs w:val="32"/>
          <w:highlight w:val="none"/>
          <w:lang w:eastAsia="zh-CN"/>
        </w:rPr>
        <w:t>接待人次增加。</w:t>
      </w:r>
    </w:p>
    <w:p>
      <w:pPr>
        <w:spacing w:line="600" w:lineRule="exact"/>
        <w:ind w:firstLine="640"/>
        <w:rPr>
          <w:rFonts w:ascii="仿宋_GB2312" w:eastAsia="仿宋_GB2312"/>
          <w:b/>
          <w:bCs/>
          <w:color w:val="auto"/>
          <w:sz w:val="32"/>
          <w:szCs w:val="32"/>
          <w:highlight w:val="none"/>
        </w:rPr>
      </w:pPr>
      <w:r>
        <w:rPr>
          <w:rFonts w:hint="eastAsia" w:ascii="仿宋" w:hAnsi="仿宋" w:eastAsia="仿宋"/>
          <w:b/>
          <w:bCs/>
          <w:color w:val="auto"/>
          <w:sz w:val="32"/>
          <w:szCs w:val="32"/>
          <w:highlight w:val="none"/>
        </w:rPr>
        <w:t>国内公务接待支出</w:t>
      </w:r>
      <w:r>
        <w:rPr>
          <w:rFonts w:hint="eastAsia" w:ascii="仿宋" w:hAnsi="仿宋" w:eastAsia="仿宋"/>
          <w:b/>
          <w:bCs/>
          <w:color w:val="auto"/>
          <w:sz w:val="32"/>
          <w:szCs w:val="32"/>
          <w:highlight w:val="none"/>
          <w:lang w:val="en-US" w:eastAsia="zh-CN"/>
        </w:rPr>
        <w:t>0.15</w:t>
      </w:r>
      <w:r>
        <w:rPr>
          <w:rFonts w:hint="eastAsia" w:ascii="仿宋_GB2312" w:eastAsia="仿宋_GB2312"/>
          <w:b/>
          <w:bCs/>
          <w:color w:val="auto"/>
          <w:sz w:val="32"/>
          <w:szCs w:val="32"/>
          <w:highlight w:val="none"/>
        </w:rPr>
        <w:t>万元，</w:t>
      </w:r>
      <w:r>
        <w:rPr>
          <w:rFonts w:hint="eastAsia" w:ascii="仿宋_GB2312" w:eastAsia="仿宋_GB2312"/>
          <w:b/>
          <w:bCs/>
          <w:color w:val="auto"/>
          <w:sz w:val="32"/>
          <w:szCs w:val="32"/>
          <w:highlight w:val="none"/>
          <w:lang w:val="en-US" w:eastAsia="zh-CN"/>
        </w:rPr>
        <w:t>主要用于(执行公务、开展业务活动开支的交通费、住宿费、用餐费等)。国内公务接待1批次，13人次(不包含陪同人员)，共计支出0.15万元，具体内容包括：内江市驻广信访维稳接待</w:t>
      </w:r>
    </w:p>
    <w:p>
      <w:pPr>
        <w:spacing w:line="600" w:lineRule="exact"/>
        <w:ind w:firstLine="643" w:firstLineChars="200"/>
        <w:rPr>
          <w:rFonts w:ascii="黑体" w:eastAsia="黑体"/>
          <w:b/>
          <w:bCs/>
          <w:color w:val="auto"/>
          <w:sz w:val="32"/>
          <w:szCs w:val="32"/>
          <w:highlight w:val="none"/>
        </w:rPr>
      </w:pPr>
      <w:bookmarkStart w:id="40" w:name="_Toc15396610"/>
      <w:bookmarkStart w:id="41" w:name="_Toc15377218"/>
      <w:r>
        <w:rPr>
          <w:rFonts w:hint="eastAsia" w:ascii="仿宋" w:hAnsi="仿宋" w:eastAsia="仿宋"/>
          <w:b/>
          <w:bCs/>
          <w:color w:val="auto"/>
          <w:sz w:val="32"/>
          <w:szCs w:val="32"/>
          <w:highlight w:val="none"/>
        </w:rPr>
        <w:t>外事接</w:t>
      </w:r>
      <w:r>
        <w:rPr>
          <w:rFonts w:hint="eastAsia" w:ascii="仿宋_GB2312" w:eastAsia="仿宋_GB2312"/>
          <w:b/>
          <w:bCs/>
          <w:color w:val="auto"/>
          <w:sz w:val="32"/>
          <w:szCs w:val="32"/>
          <w:highlight w:val="none"/>
          <w:lang w:val="en-US" w:eastAsia="zh-CN"/>
        </w:rPr>
        <w:t>待支出0万元。</w:t>
      </w:r>
    </w:p>
    <w:p>
      <w:pPr>
        <w:spacing w:line="600" w:lineRule="exact"/>
        <w:ind w:firstLine="640"/>
        <w:outlineLvl w:val="1"/>
        <w:rPr>
          <w:rStyle w:val="25"/>
          <w:rFonts w:ascii="黑体" w:hAnsi="黑体" w:eastAsia="黑体"/>
          <w:b/>
          <w:bCs/>
          <w:color w:val="auto"/>
          <w:highlight w:val="none"/>
        </w:rPr>
      </w:pPr>
      <w:r>
        <w:rPr>
          <w:rFonts w:hint="eastAsia" w:ascii="黑体" w:eastAsia="黑体"/>
          <w:b/>
          <w:bCs/>
          <w:color w:val="auto"/>
          <w:sz w:val="32"/>
          <w:szCs w:val="32"/>
          <w:highlight w:val="none"/>
        </w:rPr>
        <w:t>八、</w:t>
      </w:r>
      <w:r>
        <w:rPr>
          <w:rStyle w:val="25"/>
          <w:rFonts w:hint="eastAsia" w:ascii="黑体" w:hAnsi="黑体" w:eastAsia="黑体"/>
          <w:b/>
          <w:bCs/>
          <w:color w:val="auto"/>
          <w:highlight w:val="none"/>
        </w:rPr>
        <w:t>政府性基金预算支出决算情况说明</w:t>
      </w:r>
      <w:bookmarkEnd w:id="40"/>
      <w:bookmarkEnd w:id="41"/>
    </w:p>
    <w:p>
      <w:pPr>
        <w:spacing w:line="600" w:lineRule="exact"/>
        <w:ind w:firstLine="640"/>
        <w:rPr>
          <w:rFonts w:ascii="仿宋_GB2312" w:eastAsia="仿宋_GB2312"/>
          <w:b/>
          <w:bCs/>
          <w:color w:val="auto"/>
          <w:sz w:val="32"/>
          <w:szCs w:val="32"/>
          <w:highlight w:val="none"/>
        </w:rPr>
      </w:pPr>
      <w:r>
        <w:rPr>
          <w:rFonts w:hint="eastAsia" w:ascii="仿宋_GB2312" w:hAnsi="Times New Roman" w:eastAsia="仿宋_GB2312" w:cs="Times New Roman"/>
          <w:b/>
          <w:bCs/>
          <w:color w:val="000000"/>
          <w:sz w:val="32"/>
          <w:szCs w:val="32"/>
          <w:lang w:val="en-US" w:eastAsia="zh-CN"/>
        </w:rPr>
        <w:t>2021年政府性基金预算财政拨款支出0万元。202</w:t>
      </w:r>
      <w:r>
        <w:rPr>
          <w:rFonts w:hint="eastAsia" w:ascii="仿宋_GB2312" w:eastAsia="仿宋_GB2312" w:cs="Times New Roman"/>
          <w:b/>
          <w:bCs/>
          <w:color w:val="000000"/>
          <w:sz w:val="32"/>
          <w:szCs w:val="32"/>
          <w:lang w:val="en-US" w:eastAsia="zh-CN"/>
        </w:rPr>
        <w:t>1</w:t>
      </w:r>
      <w:r>
        <w:rPr>
          <w:rFonts w:hint="eastAsia" w:ascii="仿宋_GB2312" w:hAnsi="Times New Roman" w:eastAsia="仿宋_GB2312" w:cs="Times New Roman"/>
          <w:b/>
          <w:bCs/>
          <w:color w:val="000000"/>
          <w:sz w:val="32"/>
          <w:szCs w:val="32"/>
          <w:lang w:val="en-US" w:eastAsia="zh-CN"/>
        </w:rPr>
        <w:t>年本单位未在政府性基金预算拨款安排“三公经费”支出。</w:t>
      </w:r>
    </w:p>
    <w:p>
      <w:pPr>
        <w:numPr>
          <w:ilvl w:val="0"/>
          <w:numId w:val="2"/>
        </w:numPr>
        <w:spacing w:line="600" w:lineRule="exact"/>
        <w:ind w:firstLine="640"/>
        <w:outlineLvl w:val="1"/>
        <w:rPr>
          <w:rStyle w:val="25"/>
          <w:rFonts w:ascii="黑体" w:hAnsi="黑体" w:eastAsia="黑体"/>
          <w:b/>
          <w:bCs/>
          <w:color w:val="auto"/>
          <w:highlight w:val="none"/>
        </w:rPr>
      </w:pPr>
      <w:bookmarkStart w:id="42" w:name="_Toc15377219"/>
      <w:bookmarkStart w:id="43" w:name="_Toc15396611"/>
      <w:r>
        <w:rPr>
          <w:rStyle w:val="25"/>
          <w:rFonts w:hint="eastAsia" w:ascii="黑体" w:hAnsi="黑体" w:eastAsia="黑体"/>
          <w:b/>
          <w:bCs/>
          <w:color w:val="auto"/>
          <w:highlight w:val="none"/>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b/>
          <w:bCs/>
          <w:color w:val="auto"/>
          <w:sz w:val="44"/>
          <w:szCs w:val="44"/>
          <w:highlight w:val="none"/>
        </w:rPr>
      </w:pPr>
      <w:r>
        <w:rPr>
          <w:rFonts w:hint="eastAsia" w:ascii="仿宋_GB2312" w:hAnsi="Times New Roman" w:eastAsia="仿宋_GB2312" w:cs="Times New Roman"/>
          <w:b/>
          <w:bCs/>
          <w:color w:val="000000"/>
          <w:sz w:val="32"/>
          <w:szCs w:val="32"/>
          <w:lang w:val="en-US" w:eastAsia="zh-CN"/>
        </w:rPr>
        <w:t>2021年国有资本经营预算财政拨款支出0万元。</w:t>
      </w:r>
    </w:p>
    <w:p>
      <w:pPr>
        <w:numPr>
          <w:ilvl w:val="0"/>
          <w:numId w:val="2"/>
        </w:numPr>
        <w:spacing w:line="600" w:lineRule="exact"/>
        <w:ind w:firstLine="640"/>
        <w:outlineLvl w:val="1"/>
        <w:rPr>
          <w:rStyle w:val="25"/>
          <w:rFonts w:hint="eastAsia" w:ascii="黑体" w:hAnsi="黑体" w:eastAsia="黑体"/>
          <w:b/>
          <w:bCs/>
          <w:color w:val="auto"/>
          <w:highlight w:val="none"/>
        </w:rPr>
      </w:pPr>
      <w:bookmarkStart w:id="44" w:name="_Toc15377221"/>
      <w:bookmarkStart w:id="45" w:name="_Toc15396612"/>
      <w:r>
        <w:rPr>
          <w:rStyle w:val="25"/>
          <w:rFonts w:hint="eastAsia" w:ascii="黑体" w:hAnsi="黑体" w:eastAsia="黑体"/>
          <w:b/>
          <w:bCs/>
          <w:color w:val="auto"/>
          <w:highlight w:val="none"/>
          <w:lang w:val="en-US" w:eastAsia="zh-CN"/>
        </w:rPr>
        <w:t>预算绩效管理情况</w:t>
      </w:r>
    </w:p>
    <w:p>
      <w:pPr>
        <w:pStyle w:val="2"/>
        <w:ind w:firstLine="643" w:firstLineChars="200"/>
        <w:rPr>
          <w:rFonts w:hint="eastAsia"/>
          <w:b/>
          <w:bCs/>
        </w:rPr>
      </w:pPr>
      <w:r>
        <w:rPr>
          <w:rFonts w:hint="eastAsia" w:ascii="仿宋_GB2312" w:hAnsi="仿宋_GB2312" w:eastAsia="仿宋_GB2312" w:cs="仿宋_GB2312"/>
          <w:b/>
          <w:bCs/>
          <w:color w:val="auto"/>
          <w:sz w:val="32"/>
          <w:szCs w:val="32"/>
          <w:highlight w:val="none"/>
        </w:rPr>
        <w:t>根据预算绩效管理要求，本部门在</w:t>
      </w:r>
      <w:r>
        <w:rPr>
          <w:rFonts w:hint="eastAsia" w:ascii="仿宋_GB2312" w:hAnsi="仿宋_GB2312" w:eastAsia="仿宋_GB2312" w:cs="仿宋_GB2312"/>
          <w:b/>
          <w:bCs/>
          <w:color w:val="auto"/>
          <w:sz w:val="32"/>
          <w:szCs w:val="32"/>
          <w:highlight w:val="none"/>
          <w:lang w:val="en-US" w:eastAsia="zh-CN"/>
        </w:rPr>
        <w:t>2021年度</w:t>
      </w:r>
      <w:r>
        <w:rPr>
          <w:rFonts w:hint="eastAsia" w:ascii="仿宋_GB2312" w:hAnsi="仿宋_GB2312" w:eastAsia="仿宋_GB2312" w:cs="仿宋_GB2312"/>
          <w:b/>
          <w:bCs/>
          <w:color w:val="auto"/>
          <w:sz w:val="32"/>
          <w:szCs w:val="32"/>
          <w:highlight w:val="none"/>
        </w:rPr>
        <w:t>预算编制阶段，组织对</w:t>
      </w:r>
      <w:r>
        <w:rPr>
          <w:rFonts w:hint="eastAsia" w:ascii="仿宋_GB2312" w:hAnsi="仿宋_GB2312" w:eastAsia="仿宋_GB2312" w:cs="仿宋_GB2312"/>
          <w:b/>
          <w:bCs/>
          <w:color w:val="auto"/>
          <w:sz w:val="32"/>
          <w:szCs w:val="32"/>
          <w:highlight w:val="none"/>
          <w:lang w:val="en-US" w:eastAsia="zh-CN"/>
        </w:rPr>
        <w:t>人民满意窗口创建、书记市长信箱升级、信访远程视频服务、信访维稳信息费、特殊疑难信访资金、处理违反上访工作经费、脱贫攻坚部门工作经费、法律顾问费、</w:t>
      </w:r>
      <w:r>
        <w:rPr>
          <w:rFonts w:hint="eastAsia" w:ascii="仿宋_GB2312" w:hAnsi="仿宋_GB2312" w:eastAsia="仿宋_GB2312" w:cs="仿宋_GB2312"/>
          <w:b/>
          <w:bCs/>
          <w:color w:val="auto"/>
          <w:sz w:val="32"/>
          <w:szCs w:val="32"/>
          <w:highlight w:val="none"/>
          <w:lang w:eastAsia="zh-CN"/>
        </w:rPr>
        <w:t>等</w:t>
      </w:r>
      <w:r>
        <w:rPr>
          <w:rFonts w:hint="eastAsia" w:hAnsi="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lang w:val="en-US" w:eastAsia="zh-CN"/>
        </w:rPr>
        <w:t>个项目</w:t>
      </w:r>
      <w:r>
        <w:rPr>
          <w:rFonts w:hint="eastAsia" w:ascii="仿宋_GB2312" w:hAnsi="仿宋_GB2312" w:eastAsia="仿宋_GB2312" w:cs="仿宋_GB2312"/>
          <w:b/>
          <w:bCs/>
          <w:color w:val="auto"/>
          <w:sz w:val="32"/>
          <w:szCs w:val="32"/>
          <w:highlight w:val="none"/>
        </w:rPr>
        <w:t>开展了预算事前绩效评估，对</w:t>
      </w:r>
      <w:r>
        <w:rPr>
          <w:rFonts w:hint="eastAsia" w:hAnsi="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rPr>
        <w:t>个项目编制了绩效目标，预算执行过程中，选取</w:t>
      </w:r>
      <w:r>
        <w:rPr>
          <w:rFonts w:hint="eastAsia" w:hAnsi="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rPr>
        <w:t>个项目开展绩效监控，年终执行完毕后，对</w:t>
      </w:r>
      <w:r>
        <w:rPr>
          <w:rFonts w:hint="eastAsia" w:hAnsi="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rPr>
        <w:t>个项目开展了绩效自评</w:t>
      </w:r>
      <w:r>
        <w:rPr>
          <w:rFonts w:hint="eastAsia" w:ascii="仿宋_GB2312" w:hAnsi="仿宋_GB2312" w:eastAsia="仿宋_GB2312" w:cs="仿宋_GB2312"/>
          <w:b/>
          <w:bCs/>
          <w:color w:val="auto"/>
          <w:sz w:val="32"/>
          <w:szCs w:val="32"/>
          <w:highlight w:val="none"/>
          <w:lang w:eastAsia="zh-CN"/>
        </w:rPr>
        <w:t>。同时，</w:t>
      </w:r>
      <w:r>
        <w:rPr>
          <w:rFonts w:hint="eastAsia" w:ascii="仿宋_GB2312" w:hAnsi="仿宋_GB2312" w:eastAsia="仿宋_GB2312" w:cs="仿宋_GB2312"/>
          <w:b/>
          <w:bCs/>
          <w:color w:val="auto"/>
          <w:sz w:val="32"/>
          <w:szCs w:val="32"/>
          <w:highlight w:val="none"/>
        </w:rPr>
        <w:t>本部门对20</w:t>
      </w:r>
      <w:r>
        <w:rPr>
          <w:rFonts w:hint="eastAsia" w:ascii="仿宋_GB2312" w:hAnsi="仿宋_GB2312" w:eastAsia="仿宋_GB2312" w:cs="仿宋_GB2312"/>
          <w:b/>
          <w:bCs/>
          <w:color w:val="auto"/>
          <w:sz w:val="32"/>
          <w:szCs w:val="32"/>
          <w:highlight w:val="none"/>
          <w:lang w:val="en-US" w:eastAsia="zh-CN"/>
        </w:rPr>
        <w:t>21</w:t>
      </w:r>
      <w:r>
        <w:rPr>
          <w:rFonts w:hint="eastAsia" w:ascii="仿宋_GB2312" w:hAnsi="仿宋_GB2312" w:eastAsia="仿宋_GB2312" w:cs="仿宋_GB2312"/>
          <w:b/>
          <w:bCs/>
          <w:color w:val="auto"/>
          <w:sz w:val="32"/>
          <w:szCs w:val="32"/>
          <w:highlight w:val="none"/>
        </w:rPr>
        <w:t>年部门整体开展绩效自评，《202</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年</w:t>
      </w:r>
      <w:r>
        <w:rPr>
          <w:rFonts w:hint="eastAsia" w:ascii="仿宋_GB2312" w:hAnsi="仿宋_GB2312" w:eastAsia="仿宋_GB2312" w:cs="仿宋_GB2312"/>
          <w:b/>
          <w:bCs/>
          <w:color w:val="auto"/>
          <w:sz w:val="32"/>
          <w:szCs w:val="32"/>
          <w:highlight w:val="none"/>
          <w:lang w:eastAsia="zh-CN"/>
        </w:rPr>
        <w:t>中共广元市委群众工作局</w:t>
      </w:r>
      <w:r>
        <w:rPr>
          <w:rFonts w:hint="eastAsia" w:ascii="仿宋_GB2312" w:hAnsi="仿宋_GB2312" w:eastAsia="仿宋_GB2312" w:cs="仿宋_GB2312"/>
          <w:b/>
          <w:bCs/>
          <w:color w:val="auto"/>
          <w:sz w:val="32"/>
          <w:szCs w:val="32"/>
          <w:highlight w:val="none"/>
        </w:rPr>
        <w:t>部门整体绩效评价报告》见附件（</w:t>
      </w:r>
      <w:r>
        <w:rPr>
          <w:rFonts w:hint="eastAsia" w:ascii="仿宋_GB2312" w:hAnsi="仿宋_GB2312" w:eastAsia="仿宋_GB2312" w:cs="仿宋_GB2312"/>
          <w:b/>
          <w:bCs/>
          <w:color w:val="auto"/>
          <w:sz w:val="32"/>
          <w:szCs w:val="32"/>
          <w:highlight w:val="none"/>
          <w:lang w:eastAsia="zh-CN"/>
        </w:rPr>
        <w:t>第四部分</w:t>
      </w:r>
      <w:r>
        <w:rPr>
          <w:rFonts w:hint="eastAsia" w:ascii="仿宋_GB2312" w:hAnsi="仿宋_GB2312" w:eastAsia="仿宋_GB2312" w:cs="仿宋_GB2312"/>
          <w:b/>
          <w:bCs/>
          <w:color w:val="auto"/>
          <w:sz w:val="32"/>
          <w:szCs w:val="32"/>
          <w:highlight w:val="none"/>
        </w:rPr>
        <w:t>）。</w:t>
      </w:r>
    </w:p>
    <w:p>
      <w:pPr>
        <w:numPr>
          <w:ilvl w:val="0"/>
          <w:numId w:val="2"/>
        </w:numPr>
        <w:spacing w:line="600" w:lineRule="exact"/>
        <w:ind w:firstLine="640"/>
        <w:outlineLvl w:val="1"/>
        <w:rPr>
          <w:rStyle w:val="25"/>
          <w:rFonts w:hint="eastAsia" w:ascii="黑体" w:hAnsi="黑体" w:eastAsia="黑体"/>
          <w:b/>
          <w:bCs/>
          <w:color w:val="auto"/>
          <w:highlight w:val="none"/>
        </w:rPr>
      </w:pPr>
      <w:r>
        <w:rPr>
          <w:rStyle w:val="25"/>
          <w:rFonts w:hint="eastAsia" w:ascii="黑体" w:hAnsi="黑体" w:eastAsia="黑体"/>
          <w:b/>
          <w:bCs/>
          <w:color w:val="auto"/>
          <w:highlight w:val="none"/>
        </w:rPr>
        <w:t>其他重要事项的情况说明</w:t>
      </w:r>
      <w:bookmarkEnd w:id="44"/>
      <w:bookmarkEnd w:id="45"/>
    </w:p>
    <w:p>
      <w:pPr>
        <w:spacing w:line="600" w:lineRule="exact"/>
        <w:ind w:firstLine="643" w:firstLineChars="200"/>
        <w:outlineLvl w:val="2"/>
        <w:rPr>
          <w:rFonts w:ascii="仿宋" w:hAnsi="仿宋" w:eastAsia="仿宋"/>
          <w:b/>
          <w:bCs/>
          <w:color w:val="auto"/>
          <w:sz w:val="32"/>
          <w:szCs w:val="32"/>
          <w:highlight w:val="none"/>
        </w:rPr>
      </w:pPr>
      <w:bookmarkStart w:id="46" w:name="_Toc15377222"/>
      <w:r>
        <w:rPr>
          <w:rFonts w:hint="eastAsia" w:ascii="仿宋" w:hAnsi="仿宋" w:eastAsia="仿宋"/>
          <w:b/>
          <w:bCs/>
          <w:color w:val="auto"/>
          <w:sz w:val="32"/>
          <w:szCs w:val="32"/>
          <w:highlight w:val="none"/>
        </w:rPr>
        <w:t>（一）机关运行经费支出情况</w:t>
      </w:r>
      <w:bookmarkEnd w:id="46"/>
    </w:p>
    <w:p>
      <w:pPr>
        <w:spacing w:line="600" w:lineRule="exact"/>
        <w:ind w:firstLine="643" w:firstLineChars="200"/>
        <w:rPr>
          <w:rFonts w:hint="default" w:ascii="仿宋_GB2312" w:eastAsia="仿宋_GB2312"/>
          <w:b/>
          <w:bCs/>
          <w:color w:val="auto"/>
          <w:sz w:val="32"/>
          <w:szCs w:val="32"/>
          <w:highlight w:val="none"/>
          <w:lang w:val="en-US" w:eastAsia="zh-CN"/>
        </w:rPr>
      </w:pPr>
      <w:r>
        <w:rPr>
          <w:rFonts w:ascii="仿宋_GB2312" w:eastAsia="仿宋_GB2312"/>
          <w:b/>
          <w:bCs/>
          <w:color w:val="auto"/>
          <w:sz w:val="32"/>
          <w:szCs w:val="32"/>
          <w:highlight w:val="none"/>
        </w:rPr>
        <w:t>20</w:t>
      </w:r>
      <w:r>
        <w:rPr>
          <w:rFonts w:hint="eastAsia" w:ascii="仿宋_GB2312" w:eastAsia="仿宋_GB2312"/>
          <w:b/>
          <w:bCs/>
          <w:color w:val="auto"/>
          <w:sz w:val="32"/>
          <w:szCs w:val="32"/>
          <w:highlight w:val="none"/>
          <w:lang w:val="en-US" w:eastAsia="zh-CN"/>
        </w:rPr>
        <w:t>21</w:t>
      </w:r>
      <w:r>
        <w:rPr>
          <w:rFonts w:hint="eastAsia" w:ascii="仿宋_GB2312" w:eastAsia="仿宋_GB2312"/>
          <w:b/>
          <w:bCs/>
          <w:color w:val="auto"/>
          <w:sz w:val="32"/>
          <w:szCs w:val="32"/>
          <w:highlight w:val="none"/>
        </w:rPr>
        <w:t>年，</w:t>
      </w:r>
      <w:r>
        <w:rPr>
          <w:rFonts w:hint="eastAsia" w:ascii="仿宋_GB2312" w:eastAsia="仿宋_GB2312"/>
          <w:b/>
          <w:bCs/>
          <w:color w:val="auto"/>
          <w:sz w:val="32"/>
          <w:szCs w:val="32"/>
          <w:highlight w:val="none"/>
          <w:lang w:eastAsia="zh-CN"/>
        </w:rPr>
        <w:t>中共广元市委群众工作局</w:t>
      </w:r>
      <w:r>
        <w:rPr>
          <w:rFonts w:hint="eastAsia" w:ascii="仿宋_GB2312" w:eastAsia="仿宋_GB2312"/>
          <w:b/>
          <w:bCs/>
          <w:color w:val="auto"/>
          <w:sz w:val="32"/>
          <w:szCs w:val="32"/>
          <w:highlight w:val="none"/>
        </w:rPr>
        <w:t>机关运行经费支出</w:t>
      </w:r>
      <w:r>
        <w:rPr>
          <w:rFonts w:hint="eastAsia" w:ascii="仿宋_GB2312" w:eastAsia="仿宋_GB2312"/>
          <w:b/>
          <w:bCs/>
          <w:color w:val="auto"/>
          <w:sz w:val="32"/>
          <w:szCs w:val="32"/>
          <w:highlight w:val="none"/>
          <w:lang w:val="en-US" w:eastAsia="zh-CN"/>
        </w:rPr>
        <w:t>37.44</w:t>
      </w:r>
      <w:r>
        <w:rPr>
          <w:rFonts w:hint="eastAsia" w:ascii="仿宋_GB2312" w:eastAsia="仿宋_GB2312"/>
          <w:b/>
          <w:bCs/>
          <w:color w:val="auto"/>
          <w:sz w:val="32"/>
          <w:szCs w:val="32"/>
          <w:highlight w:val="none"/>
        </w:rPr>
        <w:t>万元，比</w:t>
      </w:r>
      <w:r>
        <w:rPr>
          <w:rFonts w:ascii="仿宋_GB2312" w:eastAsia="仿宋_GB2312"/>
          <w:b/>
          <w:bCs/>
          <w:color w:val="auto"/>
          <w:sz w:val="32"/>
          <w:szCs w:val="32"/>
          <w:highlight w:val="none"/>
        </w:rPr>
        <w:t>20</w:t>
      </w:r>
      <w:r>
        <w:rPr>
          <w:rFonts w:hint="eastAsia" w:ascii="仿宋_GB2312" w:eastAsia="仿宋_GB2312"/>
          <w:b/>
          <w:bCs/>
          <w:color w:val="auto"/>
          <w:sz w:val="32"/>
          <w:szCs w:val="32"/>
          <w:highlight w:val="none"/>
          <w:lang w:val="en-US" w:eastAsia="zh-CN"/>
        </w:rPr>
        <w:t>20</w:t>
      </w:r>
      <w:r>
        <w:rPr>
          <w:rFonts w:hint="eastAsia" w:ascii="仿宋_GB2312" w:eastAsia="仿宋_GB2312"/>
          <w:b/>
          <w:bCs/>
          <w:color w:val="auto"/>
          <w:sz w:val="32"/>
          <w:szCs w:val="32"/>
          <w:highlight w:val="none"/>
        </w:rPr>
        <w:t>年减少</w:t>
      </w:r>
      <w:r>
        <w:rPr>
          <w:rFonts w:hint="eastAsia" w:ascii="仿宋_GB2312" w:eastAsia="仿宋_GB2312"/>
          <w:b/>
          <w:bCs/>
          <w:color w:val="auto"/>
          <w:sz w:val="32"/>
          <w:szCs w:val="32"/>
          <w:highlight w:val="none"/>
          <w:lang w:val="en-US" w:eastAsia="zh-CN"/>
        </w:rPr>
        <w:t>13.54</w:t>
      </w:r>
      <w:r>
        <w:rPr>
          <w:rFonts w:hint="eastAsia" w:ascii="仿宋_GB2312" w:eastAsia="仿宋_GB2312"/>
          <w:b/>
          <w:bCs/>
          <w:color w:val="auto"/>
          <w:sz w:val="32"/>
          <w:szCs w:val="32"/>
          <w:highlight w:val="none"/>
        </w:rPr>
        <w:t>万元，下降</w:t>
      </w:r>
      <w:r>
        <w:rPr>
          <w:rFonts w:hint="eastAsia" w:ascii="仿宋_GB2312" w:eastAsia="仿宋_GB2312"/>
          <w:b/>
          <w:bCs/>
          <w:color w:val="auto"/>
          <w:sz w:val="32"/>
          <w:szCs w:val="32"/>
          <w:highlight w:val="none"/>
          <w:lang w:val="en-US" w:eastAsia="zh-CN"/>
        </w:rPr>
        <w:t>27</w:t>
      </w:r>
      <w:r>
        <w:rPr>
          <w:rFonts w:ascii="仿宋_GB2312" w:eastAsia="仿宋_GB2312"/>
          <w:b/>
          <w:bCs/>
          <w:color w:val="auto"/>
          <w:sz w:val="32"/>
          <w:szCs w:val="32"/>
          <w:highlight w:val="none"/>
        </w:rPr>
        <w:t>%</w:t>
      </w:r>
      <w:r>
        <w:rPr>
          <w:rFonts w:hint="eastAsia" w:ascii="仿宋_GB2312" w:eastAsia="仿宋_GB2312"/>
          <w:b/>
          <w:bCs/>
          <w:color w:val="auto"/>
          <w:sz w:val="32"/>
          <w:szCs w:val="32"/>
          <w:highlight w:val="none"/>
        </w:rPr>
        <w:t>。主要原因</w:t>
      </w:r>
      <w:r>
        <w:rPr>
          <w:rFonts w:hint="eastAsia" w:ascii="仿宋_GB2312" w:eastAsia="仿宋_GB2312"/>
          <w:b/>
          <w:bCs/>
          <w:color w:val="auto"/>
          <w:sz w:val="32"/>
          <w:szCs w:val="32"/>
          <w:highlight w:val="none"/>
          <w:lang w:eastAsia="zh-CN"/>
        </w:rPr>
        <w:t>是</w:t>
      </w:r>
      <w:r>
        <w:rPr>
          <w:rFonts w:hint="eastAsia" w:ascii="仿宋_GB2312" w:eastAsia="仿宋_GB2312"/>
          <w:b/>
          <w:bCs/>
          <w:color w:val="auto"/>
          <w:sz w:val="32"/>
          <w:szCs w:val="32"/>
          <w:highlight w:val="none"/>
          <w:lang w:val="en-US" w:eastAsia="zh-CN"/>
        </w:rPr>
        <w:t>2021年厉行节约，减少开支。</w:t>
      </w:r>
    </w:p>
    <w:p>
      <w:pPr>
        <w:autoSpaceDE w:val="0"/>
        <w:autoSpaceDN w:val="0"/>
        <w:adjustRightInd w:val="0"/>
        <w:spacing w:line="600" w:lineRule="exact"/>
        <w:ind w:firstLine="643" w:firstLineChars="200"/>
        <w:jc w:val="left"/>
        <w:outlineLvl w:val="2"/>
        <w:rPr>
          <w:rFonts w:ascii="仿宋" w:hAnsi="仿宋" w:eastAsia="仿宋"/>
          <w:b/>
          <w:bCs/>
          <w:color w:val="auto"/>
          <w:sz w:val="32"/>
          <w:szCs w:val="32"/>
          <w:highlight w:val="none"/>
        </w:rPr>
      </w:pPr>
      <w:bookmarkStart w:id="47" w:name="_Toc15377223"/>
      <w:r>
        <w:rPr>
          <w:rFonts w:hint="eastAsia" w:ascii="仿宋" w:hAnsi="仿宋" w:eastAsia="仿宋"/>
          <w:b/>
          <w:bCs/>
          <w:color w:val="auto"/>
          <w:sz w:val="32"/>
          <w:szCs w:val="32"/>
          <w:highlight w:val="none"/>
        </w:rPr>
        <w:t>（二）政府采购支出情况</w:t>
      </w:r>
      <w:bookmarkEnd w:id="47"/>
    </w:p>
    <w:p>
      <w:pPr>
        <w:numPr>
          <w:ilvl w:val="0"/>
          <w:numId w:val="0"/>
        </w:numPr>
        <w:spacing w:line="600" w:lineRule="exact"/>
        <w:ind w:firstLine="643" w:firstLineChars="200"/>
        <w:outlineLvl w:val="1"/>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2021年，中共广元市委群众工作局政府采购支出总额0万元。</w:t>
      </w:r>
    </w:p>
    <w:p>
      <w:pPr>
        <w:autoSpaceDE w:val="0"/>
        <w:autoSpaceDN w:val="0"/>
        <w:adjustRightInd w:val="0"/>
        <w:spacing w:line="600" w:lineRule="exact"/>
        <w:ind w:firstLine="643" w:firstLineChars="200"/>
        <w:jc w:val="left"/>
        <w:outlineLvl w:val="2"/>
        <w:rPr>
          <w:rFonts w:ascii="仿宋" w:hAnsi="仿宋" w:eastAsia="仿宋"/>
          <w:b/>
          <w:bCs/>
          <w:color w:val="auto"/>
          <w:sz w:val="32"/>
          <w:szCs w:val="32"/>
          <w:highlight w:val="none"/>
        </w:rPr>
      </w:pPr>
      <w:bookmarkStart w:id="48" w:name="_Toc15377224"/>
      <w:r>
        <w:rPr>
          <w:rFonts w:hint="eastAsia" w:ascii="仿宋" w:hAnsi="仿宋" w:eastAsia="仿宋"/>
          <w:b/>
          <w:bCs/>
          <w:color w:val="auto"/>
          <w:sz w:val="32"/>
          <w:szCs w:val="32"/>
          <w:highlight w:val="none"/>
        </w:rPr>
        <w:t>（三）国有资产占有使用情况</w:t>
      </w:r>
      <w:bookmarkEnd w:id="48"/>
    </w:p>
    <w:p>
      <w:pPr>
        <w:pStyle w:val="2"/>
        <w:ind w:firstLine="643" w:firstLineChars="200"/>
        <w:rPr>
          <w:b/>
          <w:bCs/>
          <w:highlight w:val="yellow"/>
        </w:rPr>
      </w:pPr>
      <w:r>
        <w:rPr>
          <w:rFonts w:hint="eastAsia" w:ascii="仿宋_GB2312" w:hAnsi="仿宋_GB2312" w:eastAsia="仿宋_GB2312" w:cs="仿宋_GB2312"/>
          <w:b/>
          <w:bCs/>
          <w:color w:val="auto"/>
          <w:sz w:val="32"/>
          <w:szCs w:val="32"/>
          <w:highlight w:val="none"/>
          <w:lang w:val="en-US" w:eastAsia="zh-CN"/>
        </w:rPr>
        <w:t>截至2021年12月31日，中共广元市委群众工作局共有车辆0辆，单价50万元以上通用设备0台（套），单价100万元以上专用设备0台（套）。</w:t>
      </w:r>
    </w:p>
    <w:p>
      <w:pPr>
        <w:widowControl/>
        <w:jc w:val="left"/>
        <w:rPr>
          <w:rFonts w:ascii="仿宋_GB2312" w:eastAsia="仿宋_GB2312"/>
          <w:b/>
          <w:bCs/>
          <w:color w:val="auto"/>
          <w:sz w:val="32"/>
          <w:szCs w:val="32"/>
          <w:highlight w:val="none"/>
        </w:rPr>
      </w:pPr>
      <w:r>
        <w:rPr>
          <w:rFonts w:ascii="仿宋_GB2312" w:eastAsia="仿宋_GB2312"/>
          <w:b/>
          <w:bCs/>
          <w:color w:val="auto"/>
          <w:sz w:val="32"/>
          <w:szCs w:val="32"/>
          <w:highlight w:val="none"/>
        </w:rPr>
        <w:br w:type="page"/>
      </w:r>
    </w:p>
    <w:p>
      <w:pPr>
        <w:numPr>
          <w:ilvl w:val="0"/>
          <w:numId w:val="3"/>
        </w:numPr>
        <w:spacing w:line="600" w:lineRule="exact"/>
        <w:ind w:firstLine="663" w:firstLineChars="150"/>
        <w:jc w:val="center"/>
        <w:outlineLvl w:val="0"/>
        <w:rPr>
          <w:rStyle w:val="24"/>
          <w:rFonts w:ascii="黑体" w:hAnsi="黑体" w:eastAsia="黑体"/>
          <w:b/>
          <w:bCs/>
          <w:color w:val="auto"/>
          <w:highlight w:val="none"/>
        </w:rPr>
      </w:pPr>
      <w:bookmarkStart w:id="49" w:name="_Toc15396613"/>
      <w:bookmarkStart w:id="50" w:name="_Toc15377225"/>
      <w:r>
        <w:rPr>
          <w:rFonts w:hint="eastAsia" w:ascii="黑体" w:hAnsi="黑体" w:eastAsia="黑体"/>
          <w:b/>
          <w:bCs/>
          <w:color w:val="auto"/>
          <w:sz w:val="44"/>
          <w:szCs w:val="44"/>
          <w:highlight w:val="none"/>
        </w:rPr>
        <w:t>名</w:t>
      </w:r>
      <w:r>
        <w:rPr>
          <w:rStyle w:val="24"/>
          <w:rFonts w:hint="eastAsia" w:ascii="黑体" w:hAnsi="黑体" w:eastAsia="黑体"/>
          <w:b/>
          <w:bCs/>
          <w:color w:val="auto"/>
          <w:highlight w:val="none"/>
        </w:rPr>
        <w:t>词解释</w:t>
      </w:r>
      <w:bookmarkEnd w:id="49"/>
      <w:bookmarkEnd w:id="50"/>
    </w:p>
    <w:p>
      <w:pPr>
        <w:spacing w:line="600" w:lineRule="exact"/>
        <w:jc w:val="left"/>
        <w:rPr>
          <w:rFonts w:ascii="宋体"/>
          <w:b/>
          <w:bCs/>
          <w:color w:val="auto"/>
          <w:sz w:val="44"/>
          <w:szCs w:val="44"/>
          <w:highlight w:val="none"/>
        </w:rPr>
      </w:pPr>
    </w:p>
    <w:p>
      <w:pPr>
        <w:pStyle w:val="22"/>
        <w:spacing w:line="560" w:lineRule="exact"/>
        <w:ind w:firstLine="643" w:firstLineChars="200"/>
        <w:rPr>
          <w:rFonts w:hint="eastAsia" w:ascii="仿宋_GB2312" w:hAnsi="仿宋_GB2312" w:eastAsia="仿宋_GB2312" w:cs="仿宋_GB2312"/>
          <w:b/>
          <w:bCs/>
          <w:color w:val="auto"/>
          <w:kern w:val="2"/>
          <w:sz w:val="32"/>
          <w:szCs w:val="32"/>
          <w:lang w:val="en-US" w:eastAsia="zh-CN" w:bidi="ar-SA"/>
        </w:rPr>
      </w:pPr>
      <w:bookmarkStart w:id="51" w:name="_Toc15396614"/>
      <w:bookmarkStart w:id="52" w:name="_Toc15377226"/>
      <w:r>
        <w:rPr>
          <w:rFonts w:hint="eastAsia" w:ascii="仿宋_GB2312" w:hAnsi="仿宋_GB2312" w:eastAsia="仿宋_GB2312" w:cs="仿宋_GB2312"/>
          <w:b/>
          <w:bCs/>
          <w:color w:val="auto"/>
          <w:kern w:val="2"/>
          <w:sz w:val="32"/>
          <w:szCs w:val="32"/>
          <w:lang w:val="en-US" w:eastAsia="zh-CN" w:bidi="ar-SA"/>
        </w:rPr>
        <w:t xml:space="preserve">1.财政拨款收入：指单位从同级财政部门取得的财政预算资金。  </w:t>
      </w:r>
    </w:p>
    <w:p>
      <w:pPr>
        <w:pStyle w:val="22"/>
        <w:spacing w:line="560"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2.年初结转和结余：指以前年度尚未完成、结转到本年按有关规定继续使用的资金。</w:t>
      </w:r>
    </w:p>
    <w:p>
      <w:pPr>
        <w:pageBreakBefore w:val="0"/>
        <w:kinsoku/>
        <w:wordWrap/>
        <w:overflowPunct/>
        <w:topLinePunct w:val="0"/>
        <w:bidi w:val="0"/>
        <w:spacing w:line="576"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3.一般公共服务（类）政府办公厅及相关机构事务（款）行政运行（项）指局机关及事业单位与其他信访有关服务管理支出</w:t>
      </w:r>
    </w:p>
    <w:p>
      <w:pPr>
        <w:pageBreakBefore w:val="0"/>
        <w:kinsoku/>
        <w:wordWrap/>
        <w:overflowPunct/>
        <w:topLinePunct w:val="0"/>
        <w:bidi w:val="0"/>
        <w:spacing w:line="576"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4.一般公共服务（类）政府办公厅及相关机构事务（款）一般行政管理事务（项）指至局机关及事业单位基本支出之外为完成特定行政任务和事业发展目标所发生的支出。</w:t>
      </w:r>
    </w:p>
    <w:p>
      <w:pPr>
        <w:pStyle w:val="2"/>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hAnsi="仿宋_GB2312" w:cs="仿宋_GB2312"/>
          <w:b/>
          <w:bCs/>
          <w:color w:val="auto"/>
          <w:kern w:val="2"/>
          <w:sz w:val="32"/>
          <w:szCs w:val="32"/>
          <w:lang w:val="en-US" w:eastAsia="zh-CN" w:bidi="ar-SA"/>
        </w:rPr>
        <w:t>5、</w:t>
      </w:r>
      <w:r>
        <w:rPr>
          <w:rFonts w:hint="eastAsia" w:ascii="仿宋_GB2312" w:hAnsi="仿宋_GB2312" w:eastAsia="仿宋_GB2312" w:cs="仿宋_GB2312"/>
          <w:b/>
          <w:bCs/>
          <w:color w:val="auto"/>
          <w:kern w:val="2"/>
          <w:sz w:val="32"/>
          <w:szCs w:val="32"/>
          <w:lang w:val="en-US" w:eastAsia="zh-CN" w:bidi="ar-SA"/>
        </w:rPr>
        <w:t>一般公共服务（类）政府办公厅及相关机构事务（款）</w:t>
      </w:r>
      <w:r>
        <w:rPr>
          <w:rFonts w:hint="eastAsia" w:hAnsi="仿宋_GB2312" w:cs="仿宋_GB2312"/>
          <w:b/>
          <w:bCs/>
          <w:color w:val="auto"/>
          <w:kern w:val="2"/>
          <w:sz w:val="32"/>
          <w:szCs w:val="32"/>
          <w:lang w:val="en-US" w:eastAsia="zh-CN" w:bidi="ar-SA"/>
        </w:rPr>
        <w:t>信访事务</w:t>
      </w:r>
      <w:r>
        <w:rPr>
          <w:rFonts w:hint="eastAsia" w:ascii="仿宋_GB2312" w:hAnsi="仿宋_GB2312" w:eastAsia="仿宋_GB2312" w:cs="仿宋_GB2312"/>
          <w:b/>
          <w:bCs/>
          <w:color w:val="auto"/>
          <w:kern w:val="2"/>
          <w:sz w:val="32"/>
          <w:szCs w:val="32"/>
          <w:lang w:val="en-US" w:eastAsia="zh-CN" w:bidi="ar-SA"/>
        </w:rPr>
        <w:t>（项）指至局机关及事业单位用于群众来信来访方面的支出。</w:t>
      </w:r>
    </w:p>
    <w:p>
      <w:pPr>
        <w:pageBreakBefore w:val="0"/>
        <w:kinsoku/>
        <w:wordWrap/>
        <w:overflowPunct/>
        <w:topLinePunct w:val="0"/>
        <w:bidi w:val="0"/>
        <w:spacing w:line="576"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6.社会保障和就业（类）行政事业单位养老支出（款）机关事业单位基本养老保险支出（项）指局机关事业单位缴纳的基本养老保险支出。</w:t>
      </w:r>
    </w:p>
    <w:p>
      <w:pPr>
        <w:pageBreakBefore w:val="0"/>
        <w:kinsoku/>
        <w:wordWrap/>
        <w:overflowPunct/>
        <w:topLinePunct w:val="0"/>
        <w:bidi w:val="0"/>
        <w:spacing w:line="576" w:lineRule="exact"/>
        <w:ind w:firstLine="643" w:firstLineChars="200"/>
        <w:rPr>
          <w:rFonts w:hint="eastAsia"/>
          <w:lang w:val="en-US" w:eastAsia="zh-CN"/>
        </w:rPr>
      </w:pPr>
      <w:r>
        <w:rPr>
          <w:rFonts w:hint="eastAsia" w:ascii="仿宋_GB2312" w:hAnsi="仿宋_GB2312" w:eastAsia="仿宋_GB2312" w:cs="仿宋_GB2312"/>
          <w:b/>
          <w:bCs/>
          <w:color w:val="auto"/>
          <w:kern w:val="2"/>
          <w:sz w:val="32"/>
          <w:szCs w:val="32"/>
          <w:lang w:val="en-US" w:eastAsia="zh-CN" w:bidi="ar-SA"/>
        </w:rPr>
        <w:t>7.社会保障和就业（类）行政事业单位养老支出（款）  机关事业单位职业年金缴费支出（项）指局机关事业单位实施养老保险制度由单位缴纳的职业年金支出。</w:t>
      </w:r>
    </w:p>
    <w:p>
      <w:pPr>
        <w:pageBreakBefore w:val="0"/>
        <w:kinsoku/>
        <w:wordWrap/>
        <w:overflowPunct/>
        <w:topLinePunct w:val="0"/>
        <w:bidi w:val="0"/>
        <w:spacing w:line="576"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8.医疗卫生与计划生育（类）行政事业单位医疗（款）行政单位医疗（项</w:t>
      </w:r>
      <w:r>
        <w:rPr>
          <w:rFonts w:hint="eastAsia" w:ascii="仿宋_GB2312" w:hAnsi="仿宋_GB2312" w:eastAsia="仿宋_GB2312" w:cs="仿宋_GB2312"/>
          <w:b/>
          <w:bCs/>
          <w:color w:val="auto"/>
          <w:kern w:val="2"/>
          <w:sz w:val="32"/>
          <w:szCs w:val="32"/>
          <w:highlight w:val="none"/>
          <w:lang w:val="en-US" w:eastAsia="zh-CN" w:bidi="ar-SA"/>
        </w:rPr>
        <w:t>）</w:t>
      </w:r>
      <w:r>
        <w:rPr>
          <w:rFonts w:hint="eastAsia" w:ascii="仿宋_GB2312" w:hAnsi="仿宋_GB2312" w:eastAsia="仿宋_GB2312" w:cs="仿宋_GB2312"/>
          <w:b/>
          <w:bCs/>
          <w:color w:val="auto"/>
          <w:kern w:val="2"/>
          <w:sz w:val="32"/>
          <w:szCs w:val="32"/>
          <w:lang w:val="en-US" w:eastAsia="zh-CN" w:bidi="ar-SA"/>
        </w:rPr>
        <w:t>指行政单位基本医疗保险缴费。</w:t>
      </w:r>
    </w:p>
    <w:p>
      <w:pPr>
        <w:pageBreakBefore w:val="0"/>
        <w:kinsoku/>
        <w:wordWrap/>
        <w:overflowPunct/>
        <w:topLinePunct w:val="0"/>
        <w:bidi w:val="0"/>
        <w:spacing w:line="576"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9.住房保障（类</w:t>
      </w:r>
      <w:r>
        <w:rPr>
          <w:rFonts w:hint="eastAsia" w:ascii="仿宋_GB2312" w:hAnsi="仿宋_GB2312" w:eastAsia="仿宋_GB2312" w:cs="仿宋_GB2312"/>
          <w:b/>
          <w:bCs/>
          <w:color w:val="auto"/>
          <w:kern w:val="2"/>
          <w:sz w:val="32"/>
          <w:szCs w:val="32"/>
          <w:highlight w:val="none"/>
          <w:lang w:val="en-US" w:eastAsia="zh-CN" w:bidi="ar-SA"/>
        </w:rPr>
        <w:t>）</w:t>
      </w:r>
      <w:r>
        <w:rPr>
          <w:rFonts w:hint="eastAsia" w:ascii="仿宋_GB2312" w:hAnsi="仿宋_GB2312" w:eastAsia="仿宋_GB2312" w:cs="仿宋_GB2312"/>
          <w:b/>
          <w:bCs/>
          <w:color w:val="auto"/>
          <w:kern w:val="2"/>
          <w:sz w:val="32"/>
          <w:szCs w:val="32"/>
          <w:lang w:val="en-US" w:eastAsia="zh-CN" w:bidi="ar-SA"/>
        </w:rPr>
        <w:t>住房改革支出（款）住房公积金（项）指行政事业单位按基本工资和津贴补贴的规定比例缴纳的住房公积金。</w:t>
      </w:r>
    </w:p>
    <w:p>
      <w:pPr>
        <w:pStyle w:val="2"/>
        <w:ind w:firstLine="643" w:firstLineChars="200"/>
        <w:rPr>
          <w:rFonts w:hint="default"/>
          <w:lang w:val="en-US" w:eastAsia="zh-CN"/>
        </w:rPr>
      </w:pPr>
      <w:r>
        <w:rPr>
          <w:rFonts w:hint="eastAsia" w:hAnsi="仿宋_GB2312" w:cs="仿宋_GB2312"/>
          <w:b/>
          <w:bCs/>
          <w:color w:val="auto"/>
          <w:kern w:val="2"/>
          <w:sz w:val="32"/>
          <w:szCs w:val="32"/>
          <w:lang w:val="en-US" w:eastAsia="zh-CN" w:bidi="ar-SA"/>
        </w:rPr>
        <w:t>10</w:t>
      </w:r>
      <w:r>
        <w:rPr>
          <w:rFonts w:hint="eastAsia" w:ascii="仿宋_GB2312" w:hAnsi="仿宋_GB2312" w:eastAsia="仿宋_GB2312" w:cs="仿宋_GB2312"/>
          <w:b/>
          <w:bCs/>
          <w:color w:val="auto"/>
          <w:kern w:val="2"/>
          <w:sz w:val="32"/>
          <w:szCs w:val="32"/>
          <w:lang w:val="en-US" w:eastAsia="zh-CN" w:bidi="ar-SA"/>
        </w:rPr>
        <w:t>.住房保障（类</w:t>
      </w:r>
      <w:r>
        <w:rPr>
          <w:rFonts w:hint="eastAsia" w:ascii="仿宋_GB2312" w:hAnsi="仿宋_GB2312" w:eastAsia="仿宋_GB2312" w:cs="仿宋_GB2312"/>
          <w:b/>
          <w:bCs/>
          <w:color w:val="auto"/>
          <w:kern w:val="2"/>
          <w:sz w:val="32"/>
          <w:szCs w:val="32"/>
          <w:highlight w:val="none"/>
          <w:lang w:val="en-US" w:eastAsia="zh-CN" w:bidi="ar-SA"/>
        </w:rPr>
        <w:t>）</w:t>
      </w:r>
      <w:r>
        <w:rPr>
          <w:rFonts w:hint="eastAsia" w:ascii="仿宋_GB2312" w:hAnsi="仿宋_GB2312" w:eastAsia="仿宋_GB2312" w:cs="仿宋_GB2312"/>
          <w:b/>
          <w:bCs/>
          <w:color w:val="auto"/>
          <w:kern w:val="2"/>
          <w:sz w:val="32"/>
          <w:szCs w:val="32"/>
          <w:lang w:val="en-US" w:eastAsia="zh-CN" w:bidi="ar-SA"/>
        </w:rPr>
        <w:t>住房改革支出（款）</w:t>
      </w:r>
      <w:r>
        <w:rPr>
          <w:rFonts w:hint="eastAsia" w:hAnsi="仿宋_GB2312" w:cs="仿宋_GB2312"/>
          <w:b/>
          <w:bCs/>
          <w:color w:val="auto"/>
          <w:kern w:val="2"/>
          <w:sz w:val="32"/>
          <w:szCs w:val="32"/>
          <w:lang w:val="en-US" w:eastAsia="zh-CN" w:bidi="ar-SA"/>
        </w:rPr>
        <w:t>购房补贴</w:t>
      </w:r>
      <w:r>
        <w:rPr>
          <w:rFonts w:hint="eastAsia" w:ascii="仿宋_GB2312" w:hAnsi="仿宋_GB2312" w:eastAsia="仿宋_GB2312" w:cs="仿宋_GB2312"/>
          <w:b/>
          <w:bCs/>
          <w:color w:val="auto"/>
          <w:kern w:val="2"/>
          <w:sz w:val="32"/>
          <w:szCs w:val="32"/>
          <w:lang w:val="en-US" w:eastAsia="zh-CN" w:bidi="ar-SA"/>
        </w:rPr>
        <w:t>（项）指行政事业单位</w:t>
      </w:r>
      <w:r>
        <w:rPr>
          <w:rFonts w:hint="eastAsia" w:hAnsi="仿宋_GB2312" w:cs="仿宋_GB2312"/>
          <w:b/>
          <w:bCs/>
          <w:color w:val="auto"/>
          <w:kern w:val="2"/>
          <w:sz w:val="32"/>
          <w:szCs w:val="32"/>
          <w:lang w:val="en-US" w:eastAsia="zh-CN" w:bidi="ar-SA"/>
        </w:rPr>
        <w:t>人才引进地方政府出台安家补贴。</w:t>
      </w:r>
    </w:p>
    <w:p>
      <w:pPr>
        <w:pStyle w:val="22"/>
        <w:pageBreakBefore w:val="0"/>
        <w:kinsoku/>
        <w:wordWrap/>
        <w:overflowPunct/>
        <w:topLinePunct w:val="0"/>
        <w:bidi w:val="0"/>
        <w:spacing w:line="576"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11.基本支出：指为保障机构正常运转、完成日常工作任务而发生的人员支出和公用支出。</w:t>
      </w:r>
    </w:p>
    <w:p>
      <w:pPr>
        <w:pStyle w:val="22"/>
        <w:pageBreakBefore w:val="0"/>
        <w:kinsoku/>
        <w:wordWrap/>
        <w:overflowPunct/>
        <w:topLinePunct w:val="0"/>
        <w:bidi w:val="0"/>
        <w:spacing w:line="576"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12.项目支出：指在基本支出之外为完成特定行政任务和事业发展目标所发生的支出。</w:t>
      </w:r>
    </w:p>
    <w:p>
      <w:pPr>
        <w:pStyle w:val="22"/>
        <w:pageBreakBefore w:val="0"/>
        <w:kinsoku/>
        <w:wordWrap/>
        <w:overflowPunct/>
        <w:topLinePunct w:val="0"/>
        <w:bidi w:val="0"/>
        <w:spacing w:line="576"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pageBreakBefore w:val="0"/>
        <w:kinsoku/>
        <w:wordWrap/>
        <w:overflowPunct/>
        <w:topLinePunct w:val="0"/>
        <w:bidi w:val="0"/>
        <w:spacing w:line="576" w:lineRule="exact"/>
        <w:ind w:firstLine="643" w:firstLineChars="200"/>
        <w:rPr>
          <w:rFonts w:hint="eastAsia" w:ascii="黑体" w:hAnsi="黑体" w:eastAsia="黑体"/>
          <w:b/>
          <w:bCs/>
          <w:color w:val="auto"/>
          <w:sz w:val="44"/>
          <w:szCs w:val="44"/>
          <w:highlight w:val="none"/>
        </w:rPr>
      </w:pPr>
      <w:r>
        <w:rPr>
          <w:rFonts w:hint="eastAsia" w:ascii="仿宋_GB2312" w:hAnsi="仿宋_GB2312" w:eastAsia="仿宋_GB2312" w:cs="仿宋_GB2312"/>
          <w:b/>
          <w:bCs/>
          <w:color w:val="auto"/>
          <w:kern w:val="2"/>
          <w:sz w:val="32"/>
          <w:szCs w:val="32"/>
          <w:lang w:val="en-US" w:eastAsia="zh-CN" w:bidi="ar-SA"/>
        </w:rPr>
        <w:t>14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bookmarkEnd w:id="51"/>
    <w:p>
      <w:pPr>
        <w:pageBreakBefore w:val="0"/>
        <w:kinsoku/>
        <w:wordWrap/>
        <w:overflowPunct/>
        <w:topLinePunct w:val="0"/>
        <w:bidi w:val="0"/>
        <w:spacing w:line="576" w:lineRule="exact"/>
        <w:jc w:val="center"/>
        <w:outlineLvl w:val="0"/>
        <w:rPr>
          <w:rStyle w:val="24"/>
          <w:rFonts w:hint="eastAsia" w:ascii="黑体" w:hAnsi="黑体" w:eastAsia="黑体"/>
          <w:b/>
          <w:bCs/>
          <w:lang w:eastAsia="zh-CN"/>
        </w:rPr>
      </w:pPr>
      <w:bookmarkStart w:id="53" w:name="_Toc15396618"/>
      <w:r>
        <w:rPr>
          <w:rStyle w:val="24"/>
          <w:rFonts w:hint="eastAsia" w:ascii="黑体" w:hAnsi="黑体" w:eastAsia="黑体"/>
          <w:b/>
          <w:bCs/>
        </w:rPr>
        <w:t>第四部分 附件</w:t>
      </w:r>
    </w:p>
    <w:p>
      <w:pPr>
        <w:pageBreakBefore w:val="0"/>
        <w:kinsoku/>
        <w:wordWrap/>
        <w:overflowPunct/>
        <w:topLinePunct w:val="0"/>
        <w:bidi w:val="0"/>
        <w:spacing w:line="576" w:lineRule="exact"/>
        <w:jc w:val="both"/>
        <w:outlineLvl w:val="0"/>
        <w:rPr>
          <w:rFonts w:hint="eastAsia" w:hAnsi="宋体" w:cs="宋体"/>
          <w:b/>
          <w:bCs/>
          <w:color w:val="auto"/>
          <w:kern w:val="0"/>
          <w:sz w:val="32"/>
          <w:szCs w:val="32"/>
          <w:highlight w:val="none"/>
          <w:shd w:val="clear" w:color="auto" w:fill="FFFFFF"/>
          <w:lang w:val="en-US" w:eastAsia="zh-CN"/>
        </w:rPr>
      </w:pPr>
      <w:r>
        <w:rPr>
          <w:rStyle w:val="24"/>
          <w:rFonts w:hint="eastAsia" w:ascii="黑体" w:hAnsi="黑体" w:eastAsia="黑体"/>
          <w:b/>
          <w:bCs/>
          <w:sz w:val="32"/>
          <w:szCs w:val="32"/>
        </w:rPr>
        <w:t>附件</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en-US" w:eastAsia="zh-CN" w:bidi="ar-SA"/>
        </w:rPr>
        <w:t>2021年人民满意窗口创建</w:t>
      </w:r>
      <w:r>
        <w:rPr>
          <w:rFonts w:hint="eastAsia" w:ascii="方正小标宋简体" w:hAnsi="方正小标宋简体" w:eastAsia="方正小标宋简体" w:cs="方正小标宋简体"/>
          <w:b/>
          <w:bCs/>
          <w:color w:val="auto"/>
          <w:kern w:val="2"/>
          <w:sz w:val="44"/>
          <w:szCs w:val="44"/>
          <w:highlight w:val="none"/>
          <w:lang w:val="zh-CN" w:eastAsia="zh-CN" w:bidi="ar-SA"/>
        </w:rPr>
        <w:t>项目</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zh-CN" w:eastAsia="zh-CN" w:bidi="ar-SA"/>
        </w:rPr>
        <w:t>支出绩效自评报告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b/>
          <w:bCs/>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lang w:val="zh-CN"/>
        </w:rPr>
      </w:pPr>
      <w:r>
        <w:rPr>
          <w:rFonts w:hint="eastAsia" w:ascii="黑体" w:hAnsi="宋体" w:eastAsia="黑体" w:cs="Times New Roman"/>
          <w:b/>
          <w:bCs/>
          <w:color w:val="auto"/>
          <w:sz w:val="32"/>
          <w:szCs w:val="32"/>
          <w:highlight w:val="none"/>
        </w:rPr>
        <w:t>一、</w:t>
      </w:r>
      <w:r>
        <w:rPr>
          <w:rFonts w:hint="eastAsia" w:ascii="黑体" w:hAnsi="宋体" w:eastAsia="黑体" w:cs="Times New Roman"/>
          <w:b/>
          <w:bCs/>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b/>
          <w:bCs/>
          <w:lang w:val="zh-CN"/>
        </w:rPr>
      </w:pPr>
      <w:r>
        <w:rPr>
          <w:rFonts w:hint="eastAsia" w:ascii="仿宋_GB2312" w:hAnsi="宋体" w:eastAsia="仿宋_GB2312" w:cs="Times New Roman"/>
          <w:b/>
          <w:bCs/>
          <w:color w:val="auto"/>
          <w:sz w:val="32"/>
          <w:szCs w:val="32"/>
          <w:highlight w:val="none"/>
          <w:lang w:val="zh-CN"/>
        </w:rPr>
        <w:t>根据国家、省信访部门创建“人民满意窗口”的要求。通过项目实施完成对信访接待场所设置，建设规范的群众信访场所。设置防火防盗、安全逃生、存包柜等设备设施；开通微信、公众账号等。</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1．项目主要内容。按照上级建设要求实施接访场所的改造、升级。</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2．项目绩效目标。配备安检门、防爆器材各1套开设信访公众号1个；购买群众来访存包柜两组。</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3．评价申报情况。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申报内容与实际相符，申报目标合理可行。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（三）项目自评步骤及方法。</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zh-CN" w:eastAsia="zh-CN"/>
        </w:rPr>
        <w:t>按照项目评价要求，明确自评责任人，由使用科室先进行自评，在通过查验资料，局班子组织审评。</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（一）项目资金申报及批复情况。</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zh-CN" w:eastAsia="zh-CN"/>
        </w:rPr>
        <w:t>按照一般公共预算管理要求，年初进行项目资金申报，</w:t>
      </w:r>
      <w:r>
        <w:rPr>
          <w:rFonts w:hint="eastAsia" w:ascii="仿宋_GB2312" w:hAnsi="宋体" w:eastAsia="仿宋_GB2312"/>
          <w:b/>
          <w:bCs/>
          <w:sz w:val="32"/>
          <w:szCs w:val="32"/>
          <w:lang w:val="en-US" w:eastAsia="zh-CN"/>
        </w:rPr>
        <w:t>2021年广元市财政局通过《广元市财政局关于批复2021年市级部门预算的通知》文件下达我单位项目资金预算指标5.40万元。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（二）资金计划、到位及使用情况。</w:t>
      </w:r>
    </w:p>
    <w:p>
      <w:pPr>
        <w:pageBreakBefore w:val="0"/>
        <w:kinsoku/>
        <w:wordWrap/>
        <w:overflowPunct/>
        <w:topLinePunct w:val="0"/>
        <w:bidi w:val="0"/>
        <w:adjustRightInd w:val="0"/>
        <w:snapToGrid w:val="0"/>
        <w:spacing w:line="576" w:lineRule="exact"/>
        <w:ind w:firstLine="72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zh-CN"/>
        </w:rPr>
        <w:t>1．资金计划。项目资金申报</w:t>
      </w:r>
      <w:r>
        <w:rPr>
          <w:rFonts w:hint="eastAsia" w:ascii="仿宋_GB2312" w:hAnsi="宋体" w:eastAsia="仿宋_GB2312"/>
          <w:b/>
          <w:bCs/>
          <w:sz w:val="32"/>
          <w:szCs w:val="32"/>
          <w:lang w:val="en-US" w:eastAsia="zh-CN"/>
        </w:rPr>
        <w:t>5.40万元，财政</w:t>
      </w:r>
      <w:r>
        <w:rPr>
          <w:rFonts w:hint="eastAsia" w:ascii="仿宋_GB2312" w:hAnsi="宋体" w:eastAsia="仿宋_GB2312"/>
          <w:b/>
          <w:bCs/>
          <w:sz w:val="32"/>
          <w:szCs w:val="32"/>
          <w:lang w:val="zh-CN"/>
        </w:rPr>
        <w:t>批复</w:t>
      </w:r>
      <w:r>
        <w:rPr>
          <w:rFonts w:hint="eastAsia" w:ascii="仿宋_GB2312" w:hAnsi="宋体" w:eastAsia="仿宋_GB2312"/>
          <w:b/>
          <w:bCs/>
          <w:sz w:val="32"/>
          <w:szCs w:val="32"/>
          <w:lang w:val="en-US" w:eastAsia="zh-CN"/>
        </w:rPr>
        <w:t>5.40万元。</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2．资金到位。该项目预算指标为</w:t>
      </w:r>
      <w:r>
        <w:rPr>
          <w:rFonts w:hint="eastAsia" w:ascii="仿宋_GB2312" w:hAnsi="宋体" w:eastAsia="仿宋_GB2312"/>
          <w:b/>
          <w:bCs/>
          <w:sz w:val="32"/>
          <w:szCs w:val="32"/>
          <w:lang w:val="en-US" w:eastAsia="zh-CN"/>
        </w:rPr>
        <w:t>5.40万元，截止2021年底，市财政实际拨付资金5.40万元，资金拨付率为100%。</w:t>
      </w:r>
    </w:p>
    <w:p>
      <w:pPr>
        <w:pageBreakBefore w:val="0"/>
        <w:kinsoku/>
        <w:wordWrap/>
        <w:overflowPunct/>
        <w:topLinePunct w:val="0"/>
        <w:bidi w:val="0"/>
        <w:adjustRightInd w:val="0"/>
        <w:snapToGrid w:val="0"/>
        <w:spacing w:line="576" w:lineRule="exact"/>
        <w:ind w:firstLine="72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zh-CN"/>
        </w:rPr>
        <w:t>3．资金使用。该项目资金全年支出</w:t>
      </w:r>
      <w:r>
        <w:rPr>
          <w:rFonts w:hint="eastAsia" w:ascii="仿宋_GB2312" w:hAnsi="宋体" w:eastAsia="仿宋_GB2312"/>
          <w:b/>
          <w:bCs/>
          <w:sz w:val="32"/>
          <w:szCs w:val="32"/>
          <w:lang w:val="en-US" w:eastAsia="zh-CN"/>
        </w:rPr>
        <w:t>5.40万元，支出进度为100%，主要用购买存包柜两组，建立微信公众号1个，配备安检门、防爆器材各1套。在项目执行过程中，严格按照预算批复执行，未随意改变该项目资金支付范围、支付标准、严格预算执行进度和经费支出，确保资金使用安全、规范、高效。</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（三）项目财务管理情况。</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en-US" w:eastAsia="zh-CN"/>
        </w:rPr>
        <w:t>我单位严格按照财务管理相关制度规定，建立健全财务管理制度和内控制度，严格执行财务支出的报销制度，应附与经济业务事项相关的合法合规的原始凭证和附件，按规定的程序审核、审批，并有具体经办人、证明人、领导审批签字，进行支付，及时、规范进行财务处理及会计核算，做好专款专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eastAsia="仿宋_GB2312" w:cs="Times New Roman"/>
          <w:b/>
          <w:bCs/>
          <w:kern w:val="0"/>
          <w:sz w:val="30"/>
          <w:szCs w:val="24"/>
          <w:lang w:val="en-US" w:eastAsia="zh-CN" w:bidi="ar-SA"/>
        </w:rPr>
      </w:pPr>
      <w:r>
        <w:rPr>
          <w:rFonts w:hint="eastAsia" w:ascii="楷体_GB2312" w:hAnsi="宋体" w:eastAsia="楷体_GB2312" w:cs="Times New Roman"/>
          <w:b/>
          <w:bCs/>
          <w:color w:val="auto"/>
          <w:sz w:val="32"/>
          <w:szCs w:val="32"/>
          <w:highlight w:val="none"/>
          <w:lang w:val="zh-CN"/>
        </w:rPr>
        <w:t>（一）项目组织架构及实施流程。</w:t>
      </w:r>
      <w:r>
        <w:rPr>
          <w:rFonts w:hint="eastAsia" w:ascii="仿宋_GB2312" w:hAnsi="宋体" w:eastAsia="仿宋_GB2312"/>
          <w:b/>
          <w:bCs/>
          <w:sz w:val="32"/>
          <w:szCs w:val="32"/>
          <w:lang w:val="zh-CN" w:eastAsia="zh-CN"/>
        </w:rPr>
        <w:t>该项目由接访一科负责申报和组织实施，由单位采购负责人对设施设备进行采购，实施完毕后由项目负责科室进行验收，向单位提供验收报告。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zh-CN" w:eastAsia="zh-CN"/>
        </w:rPr>
      </w:pPr>
      <w:r>
        <w:rPr>
          <w:rFonts w:hint="eastAsia" w:ascii="楷体_GB2312" w:hAnsi="宋体" w:eastAsia="楷体_GB2312" w:cs="Times New Roman"/>
          <w:b/>
          <w:bCs/>
          <w:color w:val="auto"/>
          <w:sz w:val="32"/>
          <w:szCs w:val="32"/>
          <w:highlight w:val="none"/>
          <w:lang w:val="zh-CN"/>
        </w:rPr>
        <w:t>（二）项目管理情况。</w:t>
      </w:r>
      <w:r>
        <w:rPr>
          <w:rFonts w:hint="eastAsia" w:ascii="仿宋_GB2312" w:hAnsi="宋体" w:eastAsia="仿宋_GB2312"/>
          <w:b/>
          <w:bCs/>
          <w:sz w:val="32"/>
          <w:szCs w:val="32"/>
          <w:lang w:val="zh-CN" w:eastAsia="zh-CN"/>
        </w:rPr>
        <w:t>由于未达到政府集采标准，故由本单位直接购买，在采购过程中严格执行采购各项要求，通过立项、论证、审批等确认程序，并落实经费来源后组织实施，资金支付过程中专款专用，使用合规，支出依据规范，无虚列支出，无截留、挤占、挪用现象。</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eastAsia="zh-CN"/>
        </w:rPr>
      </w:pPr>
      <w:r>
        <w:rPr>
          <w:rFonts w:hint="eastAsia" w:ascii="楷体_GB2312" w:hAnsi="宋体" w:eastAsia="楷体_GB2312" w:cs="Times New Roman"/>
          <w:b/>
          <w:bCs/>
          <w:color w:val="auto"/>
          <w:sz w:val="32"/>
          <w:szCs w:val="32"/>
          <w:highlight w:val="none"/>
          <w:lang w:val="zh-CN"/>
        </w:rPr>
        <w:t>（三）项目监管情况。</w:t>
      </w:r>
      <w:r>
        <w:rPr>
          <w:rFonts w:hint="eastAsia" w:ascii="仿宋_GB2312" w:hAnsi="宋体" w:eastAsia="仿宋_GB2312"/>
          <w:b/>
          <w:bCs/>
          <w:sz w:val="32"/>
          <w:szCs w:val="32"/>
          <w:lang w:val="zh-CN" w:eastAsia="zh-CN"/>
        </w:rPr>
        <w:t>内控工作小组与内部纪检员定期对项目的实施和支付情况进行审核。</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黑体" w:hAnsi="宋体" w:eastAsia="黑体" w:cs="Times New Roman"/>
          <w:b/>
          <w:bCs/>
          <w:color w:val="auto"/>
          <w:sz w:val="32"/>
          <w:szCs w:val="32"/>
          <w:highlight w:val="none"/>
        </w:rPr>
        <w:t>四、项目绩效情况</w:t>
      </w:r>
      <w:r>
        <w:rPr>
          <w:rFonts w:hint="eastAsia" w:ascii="仿宋_GB2312" w:hAnsi="宋体" w:eastAsia="仿宋_GB2312" w:cs="Times New Roman"/>
          <w:b/>
          <w:bCs/>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（一）项目完成情况。</w:t>
      </w:r>
    </w:p>
    <w:p>
      <w:pPr>
        <w:pStyle w:val="2"/>
        <w:ind w:firstLine="643" w:firstLineChars="200"/>
        <w:rPr>
          <w:rFonts w:hint="default"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zh-CN" w:eastAsia="zh-CN" w:bidi="ar-SA"/>
        </w:rPr>
        <w:t>通过项目实施，使群众来访接待场所进一步规范，信访秩序进一步有序。截止评价时点任务完成</w:t>
      </w:r>
      <w:r>
        <w:rPr>
          <w:rFonts w:hint="eastAsia" w:ascii="仿宋_GB2312" w:hAnsi="宋体" w:eastAsia="仿宋_GB2312" w:cs="Times New Roman"/>
          <w:b/>
          <w:bCs/>
          <w:kern w:val="2"/>
          <w:sz w:val="32"/>
          <w:szCs w:val="32"/>
          <w:lang w:val="en-US" w:eastAsia="zh-CN" w:bidi="ar-SA"/>
        </w:rPr>
        <w:t>100%，验收质量合格，支付资金5.40万元，未有资金超标和结余情况。</w:t>
      </w:r>
    </w:p>
    <w:p>
      <w:pPr>
        <w:keepNext w:val="0"/>
        <w:keepLines w:val="0"/>
        <w:pageBreakBefore w:val="0"/>
        <w:numPr>
          <w:ilvl w:val="0"/>
          <w:numId w:val="4"/>
        </w:numPr>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项目效益情况。</w:t>
      </w:r>
    </w:p>
    <w:p>
      <w:pPr>
        <w:pStyle w:val="2"/>
        <w:ind w:firstLine="643" w:firstLineChars="200"/>
        <w:rPr>
          <w:rFonts w:hint="eastAsia" w:ascii="仿宋_GB2312" w:hAnsi="宋体" w:eastAsia="仿宋_GB2312" w:cs="Times New Roman"/>
          <w:b/>
          <w:bCs/>
          <w:kern w:val="2"/>
          <w:sz w:val="32"/>
          <w:szCs w:val="32"/>
          <w:lang w:val="zh-CN" w:eastAsia="zh-CN" w:bidi="ar-SA"/>
        </w:rPr>
      </w:pPr>
      <w:r>
        <w:rPr>
          <w:rFonts w:hint="eastAsia" w:ascii="仿宋_GB2312" w:hAnsi="宋体" w:eastAsia="仿宋_GB2312" w:cs="Times New Roman"/>
          <w:b/>
          <w:bCs/>
          <w:kern w:val="2"/>
          <w:sz w:val="32"/>
          <w:szCs w:val="32"/>
          <w:lang w:val="zh-CN" w:eastAsia="zh-CN" w:bidi="ar-SA"/>
        </w:rPr>
        <w:t>通过项目实施，群众来访接待场所进一步规范，群众和接待工作人员安全保障提高。</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（一）评价结论。</w:t>
      </w:r>
    </w:p>
    <w:p>
      <w:pPr>
        <w:pStyle w:val="2"/>
        <w:ind w:firstLine="643" w:firstLineChars="200"/>
        <w:rPr>
          <w:rFonts w:hint="eastAsia" w:ascii="仿宋_GB2312" w:hAnsi="宋体" w:eastAsia="仿宋_GB2312" w:cs="Times New Roman"/>
          <w:b/>
          <w:bCs/>
          <w:kern w:val="2"/>
          <w:sz w:val="32"/>
          <w:szCs w:val="32"/>
          <w:lang w:val="zh-CN" w:eastAsia="zh-CN" w:bidi="ar-SA"/>
        </w:rPr>
      </w:pPr>
      <w:r>
        <w:rPr>
          <w:rFonts w:hint="eastAsia" w:ascii="仿宋_GB2312" w:hAnsi="宋体" w:eastAsia="仿宋_GB2312" w:cs="Times New Roman"/>
          <w:b/>
          <w:bCs/>
          <w:kern w:val="2"/>
          <w:sz w:val="32"/>
          <w:szCs w:val="32"/>
          <w:lang w:val="zh-CN" w:eastAsia="zh-CN" w:bidi="ar-SA"/>
        </w:rPr>
        <w:t>通过“人民满意窗口”项目实施，落实国家、省信访部门对接访场所设置的要求，规范了信访场所接待，保障了群众安全。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（二）存在的问题。</w:t>
      </w:r>
    </w:p>
    <w:p>
      <w:pPr>
        <w:pStyle w:val="2"/>
        <w:ind w:firstLine="643" w:firstLineChars="200"/>
        <w:rPr>
          <w:rFonts w:hint="eastAsia" w:ascii="仿宋_GB2312" w:hAnsi="宋体" w:eastAsia="仿宋_GB2312" w:cs="Times New Roman"/>
          <w:b/>
          <w:bCs/>
          <w:kern w:val="2"/>
          <w:sz w:val="32"/>
          <w:szCs w:val="32"/>
          <w:lang w:val="zh-CN" w:eastAsia="zh-CN" w:bidi="ar-SA"/>
        </w:rPr>
      </w:pPr>
      <w:r>
        <w:rPr>
          <w:rFonts w:hint="eastAsia" w:ascii="仿宋_GB2312" w:hAnsi="宋体" w:eastAsia="仿宋_GB2312" w:cs="Times New Roman"/>
          <w:b/>
          <w:bCs/>
          <w:kern w:val="2"/>
          <w:sz w:val="32"/>
          <w:szCs w:val="32"/>
          <w:lang w:val="zh-CN" w:eastAsia="zh-CN" w:bidi="ar-SA"/>
        </w:rPr>
        <w:t>一是建设内容还未完善，下步还需要继续实施；二是年初预算申报有待细化。</w:t>
      </w:r>
      <w:r>
        <w:rPr>
          <w:rFonts w:hint="eastAsia" w:ascii="仿宋_GB2312" w:hAnsi="宋体" w:eastAsia="仿宋_GB2312" w:cs="Times New Roman"/>
          <w:b/>
          <w:bCs/>
          <w:kern w:val="2"/>
          <w:sz w:val="32"/>
          <w:szCs w:val="32"/>
          <w:lang w:val="zh-CN" w:eastAsia="zh-CN" w:bidi="ar-SA"/>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（三）相关建议。</w:t>
      </w:r>
    </w:p>
    <w:p>
      <w:pPr>
        <w:pStyle w:val="2"/>
        <w:ind w:firstLine="643" w:firstLineChars="200"/>
        <w:rPr>
          <w:rFonts w:hint="eastAsia" w:ascii="仿宋_GB2312" w:hAnsi="宋体" w:eastAsia="仿宋_GB2312" w:cs="Times New Roman"/>
          <w:b/>
          <w:bCs/>
          <w:kern w:val="2"/>
          <w:sz w:val="32"/>
          <w:szCs w:val="32"/>
          <w:lang w:val="zh-CN" w:eastAsia="zh-CN" w:bidi="ar-SA"/>
        </w:rPr>
      </w:pPr>
      <w:r>
        <w:rPr>
          <w:rFonts w:hint="eastAsia" w:ascii="仿宋_GB2312" w:hAnsi="宋体" w:eastAsia="仿宋_GB2312" w:cs="Times New Roman"/>
          <w:b/>
          <w:bCs/>
          <w:kern w:val="2"/>
          <w:sz w:val="32"/>
          <w:szCs w:val="32"/>
          <w:lang w:val="zh-CN" w:eastAsia="zh-CN" w:bidi="ar-SA"/>
        </w:rPr>
        <w:t>细化预算编制工作，提升预算精细度和执行进度。</w:t>
      </w: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bCs/>
                <w:i w:val="0"/>
                <w:color w:val="auto"/>
                <w:sz w:val="32"/>
                <w:szCs w:val="32"/>
                <w:highlight w:val="none"/>
                <w:u w:val="none"/>
              </w:rPr>
            </w:pPr>
            <w:r>
              <w:rPr>
                <w:rFonts w:hint="eastAsia" w:ascii="宋体" w:hAnsi="宋体" w:eastAsia="宋体" w:cs="宋体"/>
                <w:b/>
                <w:bCs/>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639001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lang w:eastAsia="zh-CN"/>
              </w:rPr>
            </w:pPr>
            <w:r>
              <w:rPr>
                <w:rFonts w:hint="eastAsia" w:ascii="宋体" w:hAnsi="宋体" w:cs="宋体"/>
                <w:b/>
                <w:bCs/>
                <w:i w:val="0"/>
                <w:color w:val="auto"/>
                <w:sz w:val="24"/>
                <w:szCs w:val="24"/>
                <w:highlight w:val="none"/>
                <w:u w:val="none"/>
                <w:lang w:eastAsia="zh-CN"/>
              </w:rPr>
              <w:t>中共广元市委群众工作局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项目预算</w:t>
            </w:r>
            <w:r>
              <w:rPr>
                <w:rFonts w:hint="eastAsia" w:ascii="宋体" w:hAnsi="宋体" w:eastAsia="宋体" w:cs="宋体"/>
                <w:b/>
                <w:bCs/>
                <w:i w:val="0"/>
                <w:color w:val="auto"/>
                <w:kern w:val="0"/>
                <w:sz w:val="24"/>
                <w:szCs w:val="24"/>
                <w:highlight w:val="none"/>
                <w:u w:val="none"/>
                <w:lang w:val="en-US" w:eastAsia="zh-CN" w:bidi="ar"/>
              </w:rPr>
              <w:br w:type="textWrapping"/>
            </w:r>
            <w:r>
              <w:rPr>
                <w:rFonts w:hint="eastAsia" w:ascii="宋体" w:hAnsi="宋体" w:eastAsia="宋体" w:cs="宋体"/>
                <w:b/>
                <w:bCs/>
                <w:i w:val="0"/>
                <w:color w:val="auto"/>
                <w:kern w:val="0"/>
                <w:sz w:val="24"/>
                <w:szCs w:val="24"/>
                <w:highlight w:val="none"/>
                <w:u w:val="none"/>
                <w:lang w:val="en-US" w:eastAsia="zh-CN" w:bidi="ar"/>
              </w:rPr>
              <w:t>执行情况</w:t>
            </w:r>
            <w:r>
              <w:rPr>
                <w:rFonts w:hint="eastAsia" w:ascii="宋体" w:hAnsi="宋体" w:eastAsia="宋体" w:cs="宋体"/>
                <w:b/>
                <w:bCs/>
                <w:i w:val="0"/>
                <w:color w:val="auto"/>
                <w:kern w:val="0"/>
                <w:sz w:val="24"/>
                <w:szCs w:val="24"/>
                <w:highlight w:val="none"/>
                <w:u w:val="none"/>
                <w:lang w:val="en-US" w:eastAsia="zh-CN" w:bidi="ar"/>
              </w:rPr>
              <w:br w:type="textWrapping"/>
            </w:r>
            <w:r>
              <w:rPr>
                <w:rFonts w:hint="eastAsia" w:ascii="宋体" w:hAnsi="宋体" w:eastAsia="宋体" w:cs="宋体"/>
                <w:b/>
                <w:bCs/>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5.40万元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5.40万元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cs="宋体"/>
                <w:b/>
                <w:bCs/>
                <w:i w:val="0"/>
                <w:color w:val="auto"/>
                <w:sz w:val="24"/>
                <w:szCs w:val="24"/>
                <w:highlight w:val="none"/>
                <w:u w:val="none"/>
                <w:lang w:val="en-US" w:eastAsia="zh-CN"/>
              </w:rPr>
              <w:t>5.40万元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cs="宋体"/>
                <w:b/>
                <w:bCs/>
                <w:i w:val="0"/>
                <w:color w:val="auto"/>
                <w:sz w:val="24"/>
                <w:szCs w:val="24"/>
                <w:highlight w:val="none"/>
                <w:u w:val="none"/>
                <w:lang w:val="en-US" w:eastAsia="zh-CN"/>
              </w:rPr>
              <w:t>5.40万元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b/>
                <w:bCs/>
                <w:i w:val="0"/>
                <w:color w:val="auto"/>
                <w:sz w:val="24"/>
                <w:szCs w:val="24"/>
                <w:highlight w:val="none"/>
                <w:u w:val="none"/>
                <w:lang w:eastAsia="zh-CN"/>
              </w:rPr>
            </w:pPr>
            <w:r>
              <w:rPr>
                <w:rFonts w:hint="eastAsia" w:ascii="宋体" w:hAnsi="宋体" w:cs="宋体"/>
                <w:b/>
                <w:bCs/>
                <w:i w:val="0"/>
                <w:color w:val="auto"/>
                <w:sz w:val="24"/>
                <w:szCs w:val="24"/>
                <w:highlight w:val="none"/>
                <w:u w:val="none"/>
                <w:lang w:val="en-US" w:eastAsia="zh-CN"/>
              </w:rPr>
              <w:t>1、</w:t>
            </w:r>
            <w:r>
              <w:rPr>
                <w:rFonts w:hint="eastAsia" w:ascii="宋体" w:hAnsi="宋体" w:eastAsia="宋体" w:cs="宋体"/>
                <w:b/>
                <w:bCs/>
                <w:i w:val="0"/>
                <w:color w:val="auto"/>
                <w:sz w:val="24"/>
                <w:szCs w:val="24"/>
                <w:highlight w:val="none"/>
                <w:u w:val="none"/>
              </w:rPr>
              <w:t>、设置防火防盗、安全逃生、智能</w:t>
            </w:r>
            <w:r>
              <w:rPr>
                <w:rFonts w:hint="eastAsia" w:ascii="宋体" w:hAnsi="宋体" w:cs="宋体"/>
                <w:b/>
                <w:bCs/>
                <w:i w:val="0"/>
                <w:color w:val="auto"/>
                <w:sz w:val="24"/>
                <w:szCs w:val="24"/>
                <w:highlight w:val="none"/>
                <w:u w:val="none"/>
                <w:lang w:eastAsia="zh-CN"/>
              </w:rPr>
              <w:t>存包柜</w:t>
            </w:r>
            <w:r>
              <w:rPr>
                <w:rFonts w:hint="eastAsia" w:ascii="宋体" w:hAnsi="宋体" w:eastAsia="宋体" w:cs="宋体"/>
                <w:b/>
                <w:bCs/>
                <w:i w:val="0"/>
                <w:color w:val="auto"/>
                <w:sz w:val="24"/>
                <w:szCs w:val="24"/>
                <w:highlight w:val="none"/>
                <w:u w:val="none"/>
              </w:rPr>
              <w:t>等设备设施</w:t>
            </w:r>
            <w:r>
              <w:rPr>
                <w:rFonts w:hint="eastAsia" w:ascii="宋体" w:hAnsi="宋体" w:cs="宋体"/>
                <w:b/>
                <w:bCs/>
                <w:i w:val="0"/>
                <w:color w:val="auto"/>
                <w:sz w:val="24"/>
                <w:szCs w:val="24"/>
                <w:highlight w:val="none"/>
                <w:u w:val="none"/>
                <w:lang w:eastAsia="zh-CN"/>
              </w:rPr>
              <w:t>。</w:t>
            </w:r>
            <w:r>
              <w:rPr>
                <w:rFonts w:hint="eastAsia" w:ascii="宋体" w:hAnsi="宋体" w:eastAsia="宋体" w:cs="宋体"/>
                <w:b/>
                <w:bCs/>
                <w:i w:val="0"/>
                <w:color w:val="auto"/>
                <w:sz w:val="24"/>
                <w:szCs w:val="24"/>
                <w:highlight w:val="none"/>
                <w:u w:val="none"/>
              </w:rPr>
              <w:t xml:space="preserve">                                                                  </w:t>
            </w:r>
            <w:r>
              <w:rPr>
                <w:rFonts w:hint="eastAsia" w:ascii="宋体" w:hAnsi="宋体" w:cs="宋体"/>
                <w:b/>
                <w:bCs/>
                <w:i w:val="0"/>
                <w:color w:val="auto"/>
                <w:sz w:val="24"/>
                <w:szCs w:val="24"/>
                <w:highlight w:val="none"/>
                <w:u w:val="none"/>
                <w:lang w:val="en-US" w:eastAsia="zh-CN"/>
              </w:rPr>
              <w:t>2</w:t>
            </w:r>
            <w:r>
              <w:rPr>
                <w:rFonts w:hint="eastAsia" w:ascii="宋体" w:hAnsi="宋体" w:eastAsia="宋体" w:cs="宋体"/>
                <w:b/>
                <w:bCs/>
                <w:i w:val="0"/>
                <w:color w:val="auto"/>
                <w:sz w:val="24"/>
                <w:szCs w:val="24"/>
                <w:highlight w:val="none"/>
                <w:u w:val="none"/>
              </w:rPr>
              <w:t>、配备安检设备、防护设施</w:t>
            </w:r>
            <w:r>
              <w:rPr>
                <w:rFonts w:hint="eastAsia" w:ascii="宋体" w:hAnsi="宋体" w:cs="宋体"/>
                <w:b/>
                <w:bCs/>
                <w:i w:val="0"/>
                <w:color w:val="auto"/>
                <w:sz w:val="24"/>
                <w:szCs w:val="24"/>
                <w:highlight w:val="none"/>
                <w:u w:val="none"/>
                <w:lang w:eastAsia="zh-CN"/>
              </w:rPr>
              <w:t>。</w:t>
            </w:r>
            <w:r>
              <w:rPr>
                <w:rFonts w:hint="eastAsia" w:ascii="宋体" w:hAnsi="宋体" w:eastAsia="宋体" w:cs="宋体"/>
                <w:b/>
                <w:bCs/>
                <w:i w:val="0"/>
                <w:color w:val="auto"/>
                <w:sz w:val="24"/>
                <w:szCs w:val="24"/>
                <w:highlight w:val="none"/>
                <w:u w:val="none"/>
              </w:rPr>
              <w:t xml:space="preserve">                                                                                       </w:t>
            </w:r>
            <w:r>
              <w:rPr>
                <w:rFonts w:hint="eastAsia" w:ascii="宋体" w:hAnsi="宋体" w:cs="宋体"/>
                <w:b/>
                <w:bCs/>
                <w:i w:val="0"/>
                <w:color w:val="auto"/>
                <w:sz w:val="24"/>
                <w:szCs w:val="24"/>
                <w:highlight w:val="none"/>
                <w:u w:val="none"/>
                <w:lang w:val="en-US" w:eastAsia="zh-CN"/>
              </w:rPr>
              <w:t>3、</w:t>
            </w:r>
            <w:r>
              <w:rPr>
                <w:rFonts w:hint="eastAsia" w:ascii="宋体" w:hAnsi="宋体" w:eastAsia="宋体" w:cs="宋体"/>
                <w:b/>
                <w:bCs/>
                <w:i w:val="0"/>
                <w:color w:val="auto"/>
                <w:sz w:val="24"/>
                <w:szCs w:val="24"/>
                <w:highlight w:val="none"/>
                <w:u w:val="none"/>
              </w:rPr>
              <w:t>开通公众账号</w:t>
            </w:r>
            <w:r>
              <w:rPr>
                <w:rFonts w:hint="eastAsia" w:ascii="宋体" w:hAnsi="宋体" w:cs="宋体"/>
                <w:b/>
                <w:bCs/>
                <w:i w:val="0"/>
                <w:color w:val="auto"/>
                <w:sz w:val="24"/>
                <w:szCs w:val="24"/>
                <w:highlight w:val="none"/>
                <w:u w:val="none"/>
                <w:lang w:eastAsia="zh-CN"/>
              </w:rPr>
              <w:t>。</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b/>
                <w:bCs/>
                <w:lang w:val="en-US" w:eastAsia="zh-CN"/>
              </w:rPr>
            </w:pPr>
            <w:r>
              <w:rPr>
                <w:rFonts w:hint="eastAsia"/>
                <w:b/>
                <w:bCs/>
                <w:lang w:val="en-US" w:eastAsia="zh-CN"/>
              </w:rPr>
              <w:t>1、设置了安检门、配备防爆器材。</w:t>
            </w:r>
          </w:p>
          <w:p>
            <w:pPr>
              <w:pStyle w:val="2"/>
              <w:rPr>
                <w:rFonts w:hint="eastAsia" w:ascii="宋体" w:hAnsi="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2、设置了职能存包柜。</w:t>
            </w:r>
          </w:p>
          <w:p>
            <w:pPr>
              <w:pStyle w:val="2"/>
              <w:rPr>
                <w:rFonts w:hint="default" w:ascii="宋体" w:hAnsi="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3、开通了公众账号。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配置存包柜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两组</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开通公众账号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2"/>
                <w:sz w:val="28"/>
                <w:szCs w:val="28"/>
                <w:highlight w:val="none"/>
                <w:u w:val="none"/>
                <w:lang w:val="en-US" w:eastAsia="zh-CN" w:bidi="ar-SA"/>
              </w:rPr>
            </w:pPr>
            <w:r>
              <w:rPr>
                <w:rFonts w:hint="eastAsia" w:ascii="仿宋_GB2312" w:hAnsi="仿宋_GB2312" w:eastAsia="仿宋_GB2312" w:cs="仿宋_GB2312"/>
                <w:b/>
                <w:bCs/>
                <w:i w:val="0"/>
                <w:color w:val="auto"/>
                <w:sz w:val="28"/>
                <w:szCs w:val="28"/>
                <w:highlight w:val="none"/>
                <w:u w:val="none"/>
                <w:lang w:eastAsia="zh-CN"/>
              </w:rPr>
              <w:t>配备防爆器材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2"/>
                <w:sz w:val="28"/>
                <w:szCs w:val="28"/>
                <w:highlight w:val="none"/>
                <w:u w:val="none"/>
                <w:lang w:val="en-US" w:eastAsia="zh-CN" w:bidi="ar-SA"/>
              </w:rPr>
            </w:pPr>
            <w:r>
              <w:rPr>
                <w:rFonts w:hint="eastAsia" w:ascii="仿宋_GB2312" w:hAnsi="仿宋_GB2312" w:eastAsia="仿宋_GB2312" w:cs="仿宋_GB2312"/>
                <w:b/>
                <w:bCs/>
                <w:i w:val="0"/>
                <w:color w:val="auto"/>
                <w:sz w:val="28"/>
                <w:szCs w:val="28"/>
                <w:highlight w:val="none"/>
                <w:u w:val="none"/>
                <w:lang w:eastAsia="zh-CN"/>
              </w:rPr>
              <w:t>盾牌、头盔、脚叉、钢叉、防刺背心、防割手套各</w:t>
            </w:r>
            <w:r>
              <w:rPr>
                <w:rFonts w:hint="eastAsia" w:ascii="仿宋_GB2312" w:hAnsi="仿宋_GB2312" w:eastAsia="仿宋_GB2312" w:cs="仿宋_GB2312"/>
                <w:b/>
                <w:bCs/>
                <w:i w:val="0"/>
                <w:color w:val="auto"/>
                <w:sz w:val="28"/>
                <w:szCs w:val="28"/>
                <w:highlight w:val="none"/>
                <w:u w:val="none"/>
                <w:lang w:val="en-US" w:eastAsia="zh-CN"/>
              </w:rPr>
              <w:t>1个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2"/>
                <w:sz w:val="28"/>
                <w:szCs w:val="28"/>
                <w:highlight w:val="none"/>
                <w:u w:val="none"/>
                <w:lang w:val="en-US" w:eastAsia="zh-CN" w:bidi="ar-SA"/>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验收情况</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合格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完成时限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2021年5月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val="en-US" w:eastAsia="zh-CN"/>
              </w:rPr>
              <w:t>2021年3月</w:t>
            </w:r>
            <w:r>
              <w:rPr>
                <w:rFonts w:hint="eastAsia" w:ascii="仿宋_GB2312" w:hAnsi="仿宋_GB2312" w:eastAsia="仿宋_GB2312" w:cs="仿宋_GB2312"/>
                <w:b/>
                <w:bCs/>
                <w:i w:val="0"/>
                <w:color w:val="auto"/>
                <w:sz w:val="28"/>
                <w:szCs w:val="28"/>
                <w:highlight w:val="none"/>
                <w:u w:val="none"/>
                <w:lang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所需经费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5.40万元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信访有序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群众来访有序、安全。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信访场所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信访场所规范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满意</w:t>
            </w:r>
            <w:r>
              <w:rPr>
                <w:rFonts w:hint="eastAsia" w:ascii="仿宋_GB2312" w:hAnsi="仿宋_GB2312" w:eastAsia="仿宋_GB2312" w:cs="仿宋_GB2312"/>
                <w:b/>
                <w:bCs/>
                <w:i w:val="0"/>
                <w:color w:val="auto"/>
                <w:kern w:val="0"/>
                <w:sz w:val="28"/>
                <w:szCs w:val="28"/>
                <w:highlight w:val="none"/>
                <w:u w:val="none"/>
                <w:lang w:val="en-US" w:eastAsia="zh-CN" w:bidi="ar"/>
              </w:rPr>
              <w:br w:type="textWrapping"/>
            </w:r>
            <w:r>
              <w:rPr>
                <w:rFonts w:hint="eastAsia" w:ascii="仿宋_GB2312" w:hAnsi="仿宋_GB2312" w:eastAsia="仿宋_GB2312" w:cs="仿宋_GB2312"/>
                <w:b/>
                <w:bCs/>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eastAsia="zh-CN"/>
              </w:rPr>
              <w:t>到达</w:t>
            </w:r>
            <w:r>
              <w:rPr>
                <w:rFonts w:hint="eastAsia" w:ascii="仿宋_GB2312" w:hAnsi="仿宋_GB2312" w:eastAsia="仿宋_GB2312" w:cs="仿宋_GB2312"/>
                <w:b/>
                <w:bCs/>
                <w:i w:val="0"/>
                <w:color w:val="auto"/>
                <w:sz w:val="28"/>
                <w:szCs w:val="28"/>
                <w:highlight w:val="none"/>
                <w:u w:val="none"/>
                <w:lang w:val="en-US" w:eastAsia="zh-CN"/>
              </w:rPr>
              <w:t>90%满意</w:t>
            </w:r>
          </w:p>
        </w:tc>
      </w:tr>
    </w:tbl>
    <w:p>
      <w:pPr>
        <w:pStyle w:val="2"/>
        <w:rPr>
          <w:rFonts w:hint="eastAsia" w:hAnsi="宋体" w:cs="宋体"/>
          <w:b/>
          <w:bCs/>
          <w:color w:val="auto"/>
          <w:kern w:val="0"/>
          <w:sz w:val="32"/>
          <w:szCs w:val="32"/>
          <w:highlight w:val="none"/>
          <w:shd w:val="clear" w:color="auto" w:fill="FFFFFF"/>
          <w:lang w:val="en-US" w:eastAsia="zh-CN"/>
        </w:rPr>
      </w:pPr>
      <w:r>
        <w:rPr>
          <w:rFonts w:hint="eastAsia" w:hAnsi="宋体" w:cs="宋体"/>
          <w:b/>
          <w:bCs/>
          <w:color w:val="auto"/>
          <w:kern w:val="0"/>
          <w:sz w:val="32"/>
          <w:szCs w:val="32"/>
          <w:highlight w:val="none"/>
          <w:shd w:val="clear" w:color="auto" w:fill="FFFFFF"/>
          <w:lang w:val="zh-CN"/>
        </w:rPr>
        <w:t>附表</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en-US" w:eastAsia="zh-CN" w:bidi="ar-SA"/>
        </w:rPr>
        <w:t>2021年书记市长信箱升级改造</w:t>
      </w:r>
      <w:r>
        <w:rPr>
          <w:rFonts w:hint="eastAsia" w:ascii="方正小标宋简体" w:hAnsi="方正小标宋简体" w:eastAsia="方正小标宋简体" w:cs="方正小标宋简体"/>
          <w:b/>
          <w:bCs/>
          <w:color w:val="auto"/>
          <w:kern w:val="2"/>
          <w:sz w:val="44"/>
          <w:szCs w:val="44"/>
          <w:highlight w:val="none"/>
          <w:lang w:val="zh-CN" w:eastAsia="zh-CN" w:bidi="ar-SA"/>
        </w:rPr>
        <w:t>项目</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zh-CN" w:eastAsia="zh-CN" w:bidi="ar-SA"/>
        </w:rPr>
        <w:t>支出绩效自评报告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b/>
          <w:bCs/>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lang w:val="zh-CN"/>
        </w:rPr>
      </w:pPr>
      <w:r>
        <w:rPr>
          <w:rFonts w:hint="eastAsia" w:ascii="黑体" w:hAnsi="宋体" w:eastAsia="黑体" w:cs="Times New Roman"/>
          <w:b/>
          <w:bCs/>
          <w:color w:val="auto"/>
          <w:sz w:val="32"/>
          <w:szCs w:val="32"/>
          <w:highlight w:val="none"/>
        </w:rPr>
        <w:t>一、</w:t>
      </w:r>
      <w:r>
        <w:rPr>
          <w:rFonts w:hint="eastAsia" w:ascii="黑体" w:hAnsi="宋体" w:eastAsia="黑体" w:cs="Times New Roman"/>
          <w:b/>
          <w:bCs/>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（一）项目基本情况。</w:t>
      </w:r>
    </w:p>
    <w:p>
      <w:pPr>
        <w:pStyle w:val="2"/>
        <w:ind w:firstLine="643" w:firstLineChars="200"/>
        <w:rPr>
          <w:rFonts w:hint="default" w:ascii="仿宋_GB2312" w:hAnsi="宋体" w:eastAsia="仿宋_GB2312" w:cs="Times New Roman"/>
          <w:b/>
          <w:bCs/>
          <w:color w:val="auto"/>
          <w:kern w:val="2"/>
          <w:sz w:val="32"/>
          <w:szCs w:val="32"/>
          <w:highlight w:val="none"/>
          <w:lang w:val="en-US" w:eastAsia="zh-CN" w:bidi="ar-SA"/>
        </w:rPr>
      </w:pPr>
      <w:r>
        <w:rPr>
          <w:rFonts w:hint="eastAsia" w:ascii="仿宋_GB2312" w:hAnsi="宋体" w:eastAsia="仿宋_GB2312" w:cs="Times New Roman"/>
          <w:b/>
          <w:bCs/>
          <w:color w:val="auto"/>
          <w:kern w:val="2"/>
          <w:sz w:val="32"/>
          <w:szCs w:val="32"/>
          <w:highlight w:val="none"/>
          <w:lang w:val="zh-CN" w:eastAsia="zh-CN" w:bidi="ar-SA"/>
        </w:rPr>
        <w:t>广元市书记市长信箱投诉系统于</w:t>
      </w:r>
      <w:r>
        <w:rPr>
          <w:rFonts w:hint="eastAsia" w:ascii="仿宋_GB2312" w:hAnsi="宋体" w:eastAsia="仿宋_GB2312" w:cs="Times New Roman"/>
          <w:b/>
          <w:bCs/>
          <w:color w:val="auto"/>
          <w:kern w:val="2"/>
          <w:sz w:val="32"/>
          <w:szCs w:val="32"/>
          <w:highlight w:val="none"/>
          <w:lang w:val="en-US" w:eastAsia="zh-CN" w:bidi="ar-SA"/>
        </w:rPr>
        <w:t>2005年开发建设，运转和安全等方面已无法满足现阶段</w:t>
      </w:r>
      <w:r>
        <w:rPr>
          <w:rFonts w:hint="eastAsia" w:hAnsi="宋体" w:cs="Times New Roman"/>
          <w:b/>
          <w:bCs/>
          <w:color w:val="auto"/>
          <w:kern w:val="2"/>
          <w:sz w:val="32"/>
          <w:szCs w:val="32"/>
          <w:highlight w:val="none"/>
          <w:lang w:val="en-US" w:eastAsia="zh-CN" w:bidi="ar-SA"/>
        </w:rPr>
        <w:t>使用，故对系统进行升级满足现有信访办理需要。</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1．项目主要内容。将书记、市长信箱接入到全国信访信息系统，实现信箱与走访、书信、网投的数据对接；提高系统安全性。</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2．项目绩效目标。建设实名制网上注册、投诉及手机短信告知；实现群众通过查询码查询受理、办结回复、满意度测评；开发投诉信访信息分析软件，对投诉信访件进行汇总、分析。</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3．评价申报情况。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申报内容与实际相符，申报目标合理可行。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（三）项目自评步骤及方法。</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zh-CN" w:eastAsia="zh-CN"/>
        </w:rPr>
        <w:t>按照项目评价要求，明确自评责任人，由使用科室先进行自评，在通过查验资料，局班子组织审评。</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（一）项目资金申报及批复情况。</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zh-CN" w:eastAsia="zh-CN"/>
        </w:rPr>
        <w:t>按照一般公共预算管理要求，年初进行项目资金申报，</w:t>
      </w:r>
      <w:r>
        <w:rPr>
          <w:rFonts w:hint="eastAsia" w:ascii="仿宋_GB2312" w:hAnsi="宋体" w:eastAsia="仿宋_GB2312"/>
          <w:b/>
          <w:bCs/>
          <w:sz w:val="32"/>
          <w:szCs w:val="32"/>
          <w:lang w:val="en-US" w:eastAsia="zh-CN"/>
        </w:rPr>
        <w:t>2021年广元市财政局通过《广元市财政局关于批复2021年市级部门预算的通知》文件下达我单位项目资金预算指标6.60万元。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（二）资金计划、到位及使用情况。</w:t>
      </w:r>
    </w:p>
    <w:p>
      <w:pPr>
        <w:pageBreakBefore w:val="0"/>
        <w:kinsoku/>
        <w:wordWrap/>
        <w:overflowPunct/>
        <w:topLinePunct w:val="0"/>
        <w:bidi w:val="0"/>
        <w:adjustRightInd w:val="0"/>
        <w:snapToGrid w:val="0"/>
        <w:spacing w:line="576" w:lineRule="exact"/>
        <w:ind w:firstLine="72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zh-CN"/>
        </w:rPr>
        <w:t>1．资金计划。项目资金申报</w:t>
      </w:r>
      <w:r>
        <w:rPr>
          <w:rFonts w:hint="eastAsia" w:ascii="仿宋_GB2312" w:hAnsi="宋体" w:eastAsia="仿宋_GB2312"/>
          <w:b/>
          <w:bCs/>
          <w:sz w:val="32"/>
          <w:szCs w:val="32"/>
          <w:lang w:val="en-US" w:eastAsia="zh-CN"/>
        </w:rPr>
        <w:t>6.60万元，财政</w:t>
      </w:r>
      <w:r>
        <w:rPr>
          <w:rFonts w:hint="eastAsia" w:ascii="仿宋_GB2312" w:hAnsi="宋体" w:eastAsia="仿宋_GB2312"/>
          <w:b/>
          <w:bCs/>
          <w:sz w:val="32"/>
          <w:szCs w:val="32"/>
          <w:lang w:val="zh-CN"/>
        </w:rPr>
        <w:t>批复</w:t>
      </w:r>
      <w:r>
        <w:rPr>
          <w:rFonts w:hint="eastAsia" w:ascii="仿宋_GB2312" w:hAnsi="宋体" w:eastAsia="仿宋_GB2312"/>
          <w:b/>
          <w:bCs/>
          <w:sz w:val="32"/>
          <w:szCs w:val="32"/>
          <w:lang w:val="en-US" w:eastAsia="zh-CN"/>
        </w:rPr>
        <w:t>6.60万元。</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2．资金到位。该项目预算指标为</w:t>
      </w:r>
      <w:r>
        <w:rPr>
          <w:rFonts w:hint="eastAsia" w:ascii="仿宋_GB2312" w:hAnsi="宋体" w:eastAsia="仿宋_GB2312"/>
          <w:b/>
          <w:bCs/>
          <w:sz w:val="32"/>
          <w:szCs w:val="32"/>
          <w:lang w:val="en-US" w:eastAsia="zh-CN"/>
        </w:rPr>
        <w:t>6.60万元，截止2021年底，市财政实际拨付资金6.60万元，资金拨付率为100%。</w:t>
      </w:r>
    </w:p>
    <w:p>
      <w:pPr>
        <w:pageBreakBefore w:val="0"/>
        <w:kinsoku/>
        <w:wordWrap/>
        <w:overflowPunct/>
        <w:topLinePunct w:val="0"/>
        <w:bidi w:val="0"/>
        <w:adjustRightInd w:val="0"/>
        <w:snapToGrid w:val="0"/>
        <w:spacing w:line="576" w:lineRule="exact"/>
        <w:ind w:firstLine="72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zh-CN"/>
        </w:rPr>
        <w:t>3．资金使用。该项目资金全年支出</w:t>
      </w:r>
      <w:r>
        <w:rPr>
          <w:rFonts w:hint="eastAsia" w:ascii="仿宋_GB2312" w:hAnsi="宋体" w:eastAsia="仿宋_GB2312"/>
          <w:b/>
          <w:bCs/>
          <w:sz w:val="32"/>
          <w:szCs w:val="32"/>
          <w:lang w:val="en-US" w:eastAsia="zh-CN"/>
        </w:rPr>
        <w:t>6.60万元，支出进度为100%，主要用升级信箱网络安全性；将信箱接入全国信访信息系统；实现实名制登记、短信告知查询、满意度测评、对投诉进行分析汇总等。在项目执行过程中，严格按照预算批复执行，未随意改变该项目资金支付范围、支付标准、严格预算执行进度和经费支出，确保资金使用安全、规范、高效。</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（三）项目财务管理情况。</w:t>
      </w:r>
    </w:p>
    <w:p>
      <w:pPr>
        <w:pageBreakBefore w:val="0"/>
        <w:numPr>
          <w:ilvl w:val="0"/>
          <w:numId w:val="0"/>
        </w:numPr>
        <w:kinsoku/>
        <w:wordWrap/>
        <w:overflowPunct/>
        <w:topLinePunct w:val="0"/>
        <w:bidi w:val="0"/>
        <w:adjustRightInd w:val="0"/>
        <w:snapToGrid w:val="0"/>
        <w:spacing w:line="576" w:lineRule="exact"/>
        <w:ind w:firstLine="643" w:firstLineChars="200"/>
        <w:rPr>
          <w:rFonts w:ascii="仿宋_GB2312" w:hAnsi="宋体" w:eastAsia="仿宋_GB2312"/>
          <w:b/>
          <w:bCs/>
          <w:sz w:val="32"/>
          <w:szCs w:val="32"/>
          <w:lang w:val="zh-CN"/>
        </w:rPr>
      </w:pPr>
      <w:r>
        <w:rPr>
          <w:rFonts w:hint="eastAsia" w:ascii="仿宋_GB2312" w:hAnsi="宋体" w:eastAsia="仿宋_GB2312"/>
          <w:b/>
          <w:bCs/>
          <w:sz w:val="32"/>
          <w:szCs w:val="32"/>
          <w:lang w:val="en-US" w:eastAsia="zh-CN"/>
        </w:rPr>
        <w:t>我单位严格按照财务管理相关制度规定，建立健全财务管理制度和内控制度，严格执行财务支出的报销制度，应附与经济业务事项相关的合法合规的原始凭证和附件，按规定的程序审核、审批，并有具体经办人、证明人、领导审批签字，进行支付，及时、规范进行财务处理及会计核算，做好专款专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宋体" w:eastAsia="仿宋_GB2312"/>
          <w:b/>
          <w:bCs/>
          <w:sz w:val="32"/>
          <w:szCs w:val="32"/>
          <w:lang w:val="en-US" w:eastAsia="zh-CN"/>
        </w:rPr>
      </w:pPr>
      <w:r>
        <w:rPr>
          <w:rFonts w:hint="eastAsia" w:ascii="楷体_GB2312" w:hAnsi="宋体" w:eastAsia="楷体_GB2312" w:cs="Times New Roman"/>
          <w:b/>
          <w:bCs/>
          <w:color w:val="auto"/>
          <w:sz w:val="32"/>
          <w:szCs w:val="32"/>
          <w:highlight w:val="none"/>
          <w:lang w:val="zh-CN"/>
        </w:rPr>
        <w:t>（一）项目组织架构及实施流程。</w:t>
      </w:r>
      <w:r>
        <w:rPr>
          <w:rFonts w:hint="eastAsia" w:ascii="仿宋_GB2312" w:hAnsi="宋体" w:eastAsia="仿宋_GB2312"/>
          <w:b/>
          <w:bCs/>
          <w:sz w:val="32"/>
          <w:szCs w:val="32"/>
          <w:lang w:val="zh-CN" w:eastAsia="zh-CN"/>
        </w:rPr>
        <w:t>该项目由群众来信办理科负责申报和组织实施，由项目负责科室进行验收，向单位提供验收报告。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zh-CN" w:eastAsia="zh-CN"/>
        </w:rPr>
      </w:pPr>
      <w:r>
        <w:rPr>
          <w:rFonts w:hint="eastAsia" w:ascii="楷体_GB2312" w:hAnsi="宋体" w:eastAsia="楷体_GB2312" w:cs="Times New Roman"/>
          <w:b/>
          <w:bCs/>
          <w:color w:val="auto"/>
          <w:sz w:val="32"/>
          <w:szCs w:val="32"/>
          <w:highlight w:val="none"/>
          <w:lang w:val="zh-CN"/>
        </w:rPr>
        <w:t>（二）项目管理情况。</w:t>
      </w:r>
      <w:r>
        <w:rPr>
          <w:rFonts w:hint="eastAsia" w:ascii="仿宋_GB2312" w:hAnsi="宋体" w:eastAsia="仿宋_GB2312"/>
          <w:b/>
          <w:bCs/>
          <w:sz w:val="32"/>
          <w:szCs w:val="32"/>
          <w:lang w:val="zh-CN" w:eastAsia="zh-CN"/>
        </w:rPr>
        <w:t>通过立项、论证、审批等确认程序，并落实经费来源后组织实施，资金支付过程中专款专用，使用合规，支出依据规范，无虚列支出，无截留、挤占、挪用现象。</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eastAsia="zh-CN"/>
        </w:rPr>
      </w:pPr>
      <w:r>
        <w:rPr>
          <w:rFonts w:hint="eastAsia" w:ascii="楷体_GB2312" w:hAnsi="宋体" w:eastAsia="楷体_GB2312" w:cs="Times New Roman"/>
          <w:b/>
          <w:bCs/>
          <w:color w:val="auto"/>
          <w:sz w:val="32"/>
          <w:szCs w:val="32"/>
          <w:highlight w:val="none"/>
          <w:lang w:val="zh-CN"/>
        </w:rPr>
        <w:t>（三）项目监管情况。</w:t>
      </w:r>
      <w:r>
        <w:rPr>
          <w:rFonts w:hint="eastAsia" w:ascii="仿宋_GB2312" w:hAnsi="宋体" w:eastAsia="仿宋_GB2312"/>
          <w:b/>
          <w:bCs/>
          <w:sz w:val="32"/>
          <w:szCs w:val="32"/>
          <w:lang w:val="zh-CN" w:eastAsia="zh-CN"/>
        </w:rPr>
        <w:t>内控工作小组与内部纪检员定期对项目的实施和支付情况进行审核。</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黑体" w:hAnsi="宋体" w:eastAsia="黑体" w:cs="Times New Roman"/>
          <w:b/>
          <w:bCs/>
          <w:color w:val="auto"/>
          <w:sz w:val="32"/>
          <w:szCs w:val="32"/>
          <w:highlight w:val="none"/>
        </w:rPr>
        <w:t>四、项目绩效情况</w:t>
      </w:r>
      <w:r>
        <w:rPr>
          <w:rFonts w:hint="eastAsia" w:ascii="仿宋_GB2312" w:hAnsi="宋体" w:eastAsia="仿宋_GB2312" w:cs="Times New Roman"/>
          <w:b/>
          <w:bCs/>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（一）项目完成情况。</w:t>
      </w:r>
    </w:p>
    <w:p>
      <w:pPr>
        <w:pStyle w:val="2"/>
        <w:ind w:firstLine="643" w:firstLineChars="200"/>
        <w:rPr>
          <w:rFonts w:hint="default"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zh-CN" w:eastAsia="zh-CN" w:bidi="ar-SA"/>
        </w:rPr>
        <w:t>通过项目实施，完成了书记市长信箱升级，达到了逾期目标，截止评价时点任务完成</w:t>
      </w:r>
      <w:r>
        <w:rPr>
          <w:rFonts w:hint="eastAsia" w:ascii="仿宋_GB2312" w:hAnsi="宋体" w:eastAsia="仿宋_GB2312" w:cs="Times New Roman"/>
          <w:b/>
          <w:bCs/>
          <w:kern w:val="2"/>
          <w:sz w:val="32"/>
          <w:szCs w:val="32"/>
          <w:lang w:val="en-US" w:eastAsia="zh-CN" w:bidi="ar-SA"/>
        </w:rPr>
        <w:t>100%，验收质量合格，支付资金6.60万元，未有资金超标和结余情况。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（二）项目效益情况。</w:t>
      </w:r>
    </w:p>
    <w:p>
      <w:pPr>
        <w:pStyle w:val="2"/>
        <w:ind w:firstLine="643" w:firstLineChars="200"/>
        <w:rPr>
          <w:rFonts w:hint="eastAsia" w:ascii="仿宋_GB2312" w:hAnsi="宋体" w:eastAsia="仿宋_GB2312" w:cs="Times New Roman"/>
          <w:b/>
          <w:bCs/>
          <w:kern w:val="2"/>
          <w:sz w:val="32"/>
          <w:szCs w:val="32"/>
          <w:lang w:val="zh-CN" w:eastAsia="zh-CN" w:bidi="ar-SA"/>
        </w:rPr>
      </w:pPr>
      <w:r>
        <w:rPr>
          <w:rFonts w:hint="eastAsia" w:ascii="仿宋_GB2312" w:hAnsi="宋体" w:eastAsia="仿宋_GB2312" w:cs="Times New Roman"/>
          <w:b/>
          <w:bCs/>
          <w:kern w:val="2"/>
          <w:sz w:val="32"/>
          <w:szCs w:val="32"/>
          <w:lang w:val="zh-CN" w:eastAsia="zh-CN" w:bidi="ar-SA"/>
        </w:rPr>
        <w:t>通过项目实施，实现了群众实名制登记遏制了多头信访投诉，接入全国信访系统纳入了同一分析处理、流转办理，提高了网络安全性。</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（一）评价结论。</w:t>
      </w:r>
    </w:p>
    <w:p>
      <w:pPr>
        <w:pStyle w:val="2"/>
        <w:ind w:firstLine="643" w:firstLineChars="200"/>
        <w:rPr>
          <w:rFonts w:hint="eastAsia" w:ascii="仿宋_GB2312" w:hAnsi="宋体" w:eastAsia="仿宋_GB2312" w:cs="Times New Roman"/>
          <w:b/>
          <w:bCs/>
          <w:kern w:val="2"/>
          <w:sz w:val="32"/>
          <w:szCs w:val="32"/>
          <w:lang w:val="zh-CN" w:eastAsia="zh-CN" w:bidi="ar-SA"/>
        </w:rPr>
      </w:pPr>
      <w:r>
        <w:rPr>
          <w:rFonts w:hint="eastAsia" w:ascii="仿宋_GB2312" w:hAnsi="宋体" w:eastAsia="仿宋_GB2312" w:cs="Times New Roman"/>
          <w:b/>
          <w:bCs/>
          <w:kern w:val="2"/>
          <w:sz w:val="32"/>
          <w:szCs w:val="32"/>
          <w:lang w:val="zh-CN" w:eastAsia="zh-CN" w:bidi="ar-SA"/>
        </w:rPr>
        <w:t>通过“</w:t>
      </w:r>
      <w:r>
        <w:rPr>
          <w:rFonts w:hint="eastAsia" w:ascii="仿宋_GB2312" w:hAnsi="宋体" w:eastAsia="仿宋_GB2312" w:cs="Times New Roman"/>
          <w:b/>
          <w:bCs/>
          <w:kern w:val="2"/>
          <w:sz w:val="32"/>
          <w:szCs w:val="32"/>
          <w:lang w:val="en-US" w:eastAsia="zh-CN" w:bidi="ar-SA"/>
        </w:rPr>
        <w:t>书记市长信箱升级改造</w:t>
      </w:r>
      <w:r>
        <w:rPr>
          <w:rFonts w:hint="eastAsia" w:ascii="仿宋_GB2312" w:hAnsi="宋体" w:eastAsia="仿宋_GB2312" w:cs="Times New Roman"/>
          <w:b/>
          <w:bCs/>
          <w:kern w:val="2"/>
          <w:sz w:val="32"/>
          <w:szCs w:val="32"/>
          <w:lang w:val="zh-CN" w:eastAsia="zh-CN" w:bidi="ar-SA"/>
        </w:rPr>
        <w:t>”项目实施，提升了该系统的运行能力，提高了群众投诉的办理质量。</w:t>
      </w:r>
    </w:p>
    <w:p>
      <w:pPr>
        <w:keepNext w:val="0"/>
        <w:keepLines w:val="0"/>
        <w:pageBreakBefore w:val="0"/>
        <w:numPr>
          <w:ilvl w:val="0"/>
          <w:numId w:val="5"/>
        </w:numPr>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存在的问题。</w:t>
      </w:r>
    </w:p>
    <w:p>
      <w:pPr>
        <w:pStyle w:val="2"/>
        <w:ind w:firstLine="643" w:firstLineChars="200"/>
        <w:rPr>
          <w:rFonts w:hint="default"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县区和乡镇对系统运用还不熟悉，办理程序还不规范。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（三）相关建议。</w:t>
      </w:r>
    </w:p>
    <w:p>
      <w:pPr>
        <w:pStyle w:val="2"/>
        <w:ind w:firstLine="643" w:firstLineChars="200"/>
        <w:rPr>
          <w:rFonts w:hint="eastAsia" w:ascii="仿宋_GB2312" w:hAnsi="宋体" w:eastAsia="仿宋_GB2312" w:cs="Times New Roman"/>
          <w:b/>
          <w:bCs/>
          <w:kern w:val="2"/>
          <w:sz w:val="32"/>
          <w:szCs w:val="32"/>
          <w:lang w:val="zh-CN" w:eastAsia="zh-CN" w:bidi="ar-SA"/>
        </w:rPr>
      </w:pPr>
      <w:r>
        <w:rPr>
          <w:rFonts w:hint="eastAsia" w:ascii="仿宋_GB2312" w:hAnsi="宋体" w:eastAsia="仿宋_GB2312" w:cs="Times New Roman"/>
          <w:b/>
          <w:bCs/>
          <w:kern w:val="2"/>
          <w:sz w:val="32"/>
          <w:szCs w:val="32"/>
          <w:lang w:val="zh-CN" w:eastAsia="zh-CN" w:bidi="ar-SA"/>
        </w:rPr>
        <w:t>加大对县区、乡镇、部门的培训。</w:t>
      </w: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bCs/>
                <w:i w:val="0"/>
                <w:color w:val="auto"/>
                <w:sz w:val="32"/>
                <w:szCs w:val="32"/>
                <w:highlight w:val="none"/>
                <w:u w:val="none"/>
              </w:rPr>
            </w:pPr>
            <w:r>
              <w:rPr>
                <w:rFonts w:hint="eastAsia" w:ascii="宋体" w:hAnsi="宋体" w:eastAsia="宋体" w:cs="宋体"/>
                <w:b/>
                <w:bCs/>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639001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lang w:eastAsia="zh-CN"/>
              </w:rPr>
            </w:pPr>
            <w:r>
              <w:rPr>
                <w:rFonts w:hint="eastAsia" w:ascii="宋体" w:hAnsi="宋体" w:cs="宋体"/>
                <w:b/>
                <w:bCs/>
                <w:i w:val="0"/>
                <w:color w:val="auto"/>
                <w:sz w:val="24"/>
                <w:szCs w:val="24"/>
                <w:highlight w:val="none"/>
                <w:u w:val="none"/>
                <w:lang w:eastAsia="zh-CN"/>
              </w:rPr>
              <w:t>中共广元市委群众工作局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项目预算</w:t>
            </w:r>
            <w:r>
              <w:rPr>
                <w:rFonts w:hint="eastAsia" w:ascii="宋体" w:hAnsi="宋体" w:eastAsia="宋体" w:cs="宋体"/>
                <w:b/>
                <w:bCs/>
                <w:i w:val="0"/>
                <w:color w:val="auto"/>
                <w:kern w:val="0"/>
                <w:sz w:val="24"/>
                <w:szCs w:val="24"/>
                <w:highlight w:val="none"/>
                <w:u w:val="none"/>
                <w:lang w:val="en-US" w:eastAsia="zh-CN" w:bidi="ar"/>
              </w:rPr>
              <w:br w:type="textWrapping"/>
            </w:r>
            <w:r>
              <w:rPr>
                <w:rFonts w:hint="eastAsia" w:ascii="宋体" w:hAnsi="宋体" w:eastAsia="宋体" w:cs="宋体"/>
                <w:b/>
                <w:bCs/>
                <w:i w:val="0"/>
                <w:color w:val="auto"/>
                <w:kern w:val="0"/>
                <w:sz w:val="24"/>
                <w:szCs w:val="24"/>
                <w:highlight w:val="none"/>
                <w:u w:val="none"/>
                <w:lang w:val="en-US" w:eastAsia="zh-CN" w:bidi="ar"/>
              </w:rPr>
              <w:t>执行情况</w:t>
            </w:r>
            <w:r>
              <w:rPr>
                <w:rFonts w:hint="eastAsia" w:ascii="宋体" w:hAnsi="宋体" w:eastAsia="宋体" w:cs="宋体"/>
                <w:b/>
                <w:bCs/>
                <w:i w:val="0"/>
                <w:color w:val="auto"/>
                <w:kern w:val="0"/>
                <w:sz w:val="24"/>
                <w:szCs w:val="24"/>
                <w:highlight w:val="none"/>
                <w:u w:val="none"/>
                <w:lang w:val="en-US" w:eastAsia="zh-CN" w:bidi="ar"/>
              </w:rPr>
              <w:br w:type="textWrapping"/>
            </w:r>
            <w:r>
              <w:rPr>
                <w:rFonts w:hint="eastAsia" w:ascii="宋体" w:hAnsi="宋体" w:eastAsia="宋体" w:cs="宋体"/>
                <w:b/>
                <w:bCs/>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6.60万元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6.60万元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cs="宋体"/>
                <w:b/>
                <w:bCs/>
                <w:i w:val="0"/>
                <w:color w:val="auto"/>
                <w:sz w:val="24"/>
                <w:szCs w:val="24"/>
                <w:highlight w:val="none"/>
                <w:u w:val="none"/>
                <w:lang w:val="en-US" w:eastAsia="zh-CN"/>
              </w:rPr>
              <w:t>6.60万元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cs="宋体"/>
                <w:b/>
                <w:bCs/>
                <w:i w:val="0"/>
                <w:color w:val="auto"/>
                <w:sz w:val="24"/>
                <w:szCs w:val="24"/>
                <w:highlight w:val="none"/>
                <w:u w:val="none"/>
                <w:lang w:val="en-US" w:eastAsia="zh-CN"/>
              </w:rPr>
              <w:t>6.60万元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6"/>
              </w:numPr>
              <w:bidi w:val="0"/>
              <w:rPr>
                <w:rFonts w:hint="eastAsia"/>
                <w:b/>
                <w:bCs/>
                <w:lang w:val="en-US" w:eastAsia="zh-CN"/>
              </w:rPr>
            </w:pPr>
            <w:r>
              <w:rPr>
                <w:rFonts w:hint="eastAsia"/>
                <w:b/>
                <w:bCs/>
                <w:lang w:val="en-US" w:eastAsia="zh-CN"/>
              </w:rPr>
              <w:t>将书记、市长信箱接入到全国信访信息系统，实现信箱与走访、书信、网投的数据对接。</w:t>
            </w:r>
          </w:p>
          <w:p>
            <w:pPr>
              <w:numPr>
                <w:ilvl w:val="0"/>
                <w:numId w:val="6"/>
              </w:numPr>
              <w:bidi w:val="0"/>
              <w:rPr>
                <w:rFonts w:hint="default"/>
                <w:b/>
                <w:bCs/>
                <w:lang w:val="en-US" w:eastAsia="zh-CN"/>
              </w:rPr>
            </w:pPr>
            <w:r>
              <w:rPr>
                <w:rFonts w:hint="default"/>
                <w:b/>
                <w:bCs/>
                <w:lang w:val="en-US" w:eastAsia="zh-CN"/>
              </w:rPr>
              <w:t>建设实名制网上注册反投诉及手机短信告知，实现群众通过查询码查询受理、办结回复、满意度测评。</w:t>
            </w:r>
          </w:p>
          <w:p>
            <w:pPr>
              <w:numPr>
                <w:ilvl w:val="0"/>
                <w:numId w:val="6"/>
              </w:numPr>
              <w:bidi w:val="0"/>
              <w:rPr>
                <w:rFonts w:hint="default" w:ascii="Times New Roman" w:hAnsi="Times New Roman" w:eastAsia="宋体" w:cs="Times New Roman"/>
                <w:b/>
                <w:bCs/>
                <w:kern w:val="2"/>
                <w:szCs w:val="24"/>
                <w:lang w:val="en-US" w:eastAsia="zh-CN" w:bidi="ar-SA"/>
              </w:rPr>
            </w:pPr>
            <w:r>
              <w:rPr>
                <w:rFonts w:hint="default"/>
                <w:b/>
                <w:bCs/>
                <w:lang w:val="en-US" w:eastAsia="zh-CN"/>
              </w:rPr>
              <w:t>开发投诉信访信息分析软件，对投诉信访件进行汇总、分析</w:t>
            </w:r>
            <w:r>
              <w:rPr>
                <w:rFonts w:hint="eastAsia"/>
                <w:b/>
                <w:bCs/>
                <w:lang w:val="en-US" w:eastAsia="zh-CN"/>
              </w:rPr>
              <w:t>。</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0"/>
              </w:numPr>
              <w:bidi w:val="0"/>
              <w:rPr>
                <w:rFonts w:hint="eastAsia"/>
                <w:b/>
                <w:bCs/>
                <w:lang w:val="en-US" w:eastAsia="zh-CN"/>
              </w:rPr>
            </w:pPr>
            <w:r>
              <w:rPr>
                <w:rFonts w:hint="eastAsia"/>
                <w:b/>
                <w:bCs/>
                <w:lang w:val="en-US" w:eastAsia="zh-CN"/>
              </w:rPr>
              <w:t>1、将书记、市长信箱接入到全国信访信息系统，实现信箱与走访、书信、网投的数据对接。</w:t>
            </w:r>
          </w:p>
          <w:p>
            <w:pPr>
              <w:numPr>
                <w:ilvl w:val="0"/>
                <w:numId w:val="0"/>
              </w:numPr>
              <w:bidi w:val="0"/>
              <w:rPr>
                <w:rFonts w:hint="default"/>
                <w:b/>
                <w:bCs/>
                <w:lang w:val="en-US" w:eastAsia="zh-CN"/>
              </w:rPr>
            </w:pPr>
            <w:r>
              <w:rPr>
                <w:rFonts w:hint="eastAsia"/>
                <w:b/>
                <w:bCs/>
                <w:lang w:val="en-US" w:eastAsia="zh-CN"/>
              </w:rPr>
              <w:t>2、</w:t>
            </w:r>
            <w:r>
              <w:rPr>
                <w:rFonts w:hint="default"/>
                <w:b/>
                <w:bCs/>
                <w:lang w:val="en-US" w:eastAsia="zh-CN"/>
              </w:rPr>
              <w:t>建设实名制网上注册反投诉及手机短信告知，实现群众通过查询码查询受理、办结回复、满意度测评。</w:t>
            </w:r>
          </w:p>
          <w:p>
            <w:pPr>
              <w:numPr>
                <w:ilvl w:val="0"/>
                <w:numId w:val="0"/>
              </w:numPr>
              <w:bidi w:val="0"/>
              <w:rPr>
                <w:rFonts w:hint="default" w:ascii="宋体" w:hAnsi="宋体" w:cs="宋体"/>
                <w:b/>
                <w:bCs/>
                <w:i w:val="0"/>
                <w:color w:val="auto"/>
                <w:szCs w:val="24"/>
                <w:highlight w:val="none"/>
                <w:u w:val="none"/>
                <w:lang w:val="en-US" w:eastAsia="zh-CN"/>
              </w:rPr>
            </w:pPr>
            <w:r>
              <w:rPr>
                <w:rFonts w:hint="eastAsia"/>
                <w:b/>
                <w:bCs/>
                <w:lang w:val="en-US" w:eastAsia="zh-CN"/>
              </w:rPr>
              <w:t>3、</w:t>
            </w:r>
            <w:r>
              <w:rPr>
                <w:rFonts w:hint="default"/>
                <w:b/>
                <w:bCs/>
                <w:lang w:val="en-US" w:eastAsia="zh-CN"/>
              </w:rPr>
              <w:t>开发投诉信访信息分析软件，对投诉信访件进行汇总、分析</w:t>
            </w:r>
            <w:r>
              <w:rPr>
                <w:rFonts w:hint="eastAsia"/>
                <w:b/>
                <w:bCs/>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升级平台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书记市长信箱升级</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验收情况</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合格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完成时限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2021年5月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val="en-US" w:eastAsia="zh-CN"/>
              </w:rPr>
              <w:t>2021年3月</w:t>
            </w:r>
            <w:r>
              <w:rPr>
                <w:rFonts w:hint="eastAsia" w:ascii="仿宋_GB2312" w:hAnsi="仿宋_GB2312" w:eastAsia="仿宋_GB2312" w:cs="仿宋_GB2312"/>
                <w:b/>
                <w:bCs/>
                <w:i w:val="0"/>
                <w:color w:val="auto"/>
                <w:sz w:val="28"/>
                <w:szCs w:val="28"/>
                <w:highlight w:val="none"/>
                <w:u w:val="none"/>
                <w:lang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所需经费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6.60万元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群众投诉便捷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val="en-US" w:eastAsia="zh-CN"/>
              </w:rPr>
              <w:t>建设实名制投诉、短信告知</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b/>
                <w:bCs/>
                <w:lang w:val="en-US" w:eastAsia="zh-CN"/>
              </w:rPr>
            </w:pPr>
            <w:r>
              <w:rPr>
                <w:rFonts w:hint="eastAsia"/>
                <w:b/>
                <w:bCs/>
                <w:lang w:val="en-US" w:eastAsia="zh-CN"/>
              </w:rPr>
              <w:t>实现实名制网上投诉及短信告知，实现群众通过查询码查询受理、办结回复、满意度测评。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信息和安全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eastAsia="zh-CN"/>
              </w:rPr>
              <w:t>实现科学化、信息化、安全可靠。</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_GB2312" w:hAnsi="仿宋_GB2312" w:eastAsia="仿宋_GB2312" w:cs="仿宋_GB2312"/>
                <w:b/>
                <w:bCs/>
                <w:i w:val="0"/>
                <w:color w:val="auto"/>
                <w:szCs w:val="28"/>
                <w:highlight w:val="none"/>
                <w:u w:val="none"/>
                <w:lang w:val="en-US" w:eastAsia="zh-CN"/>
              </w:rPr>
            </w:pPr>
            <w:r>
              <w:rPr>
                <w:rFonts w:hint="eastAsia"/>
                <w:b/>
                <w:bCs/>
                <w:lang w:val="en-US" w:eastAsia="zh-CN"/>
              </w:rPr>
              <w:t>接入到全国信访信息系统，实现数据对接；开发投诉信访信息分析软件，对投诉信访件进行汇总、分析，形成长效模式。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满意</w:t>
            </w:r>
            <w:r>
              <w:rPr>
                <w:rFonts w:hint="eastAsia" w:ascii="仿宋_GB2312" w:hAnsi="仿宋_GB2312" w:eastAsia="仿宋_GB2312" w:cs="仿宋_GB2312"/>
                <w:b/>
                <w:bCs/>
                <w:i w:val="0"/>
                <w:color w:val="auto"/>
                <w:kern w:val="0"/>
                <w:sz w:val="28"/>
                <w:szCs w:val="28"/>
                <w:highlight w:val="none"/>
                <w:u w:val="none"/>
                <w:lang w:val="en-US" w:eastAsia="zh-CN" w:bidi="ar"/>
              </w:rPr>
              <w:br w:type="textWrapping"/>
            </w:r>
            <w:r>
              <w:rPr>
                <w:rFonts w:hint="eastAsia" w:ascii="仿宋_GB2312" w:hAnsi="仿宋_GB2312" w:eastAsia="仿宋_GB2312" w:cs="仿宋_GB2312"/>
                <w:b/>
                <w:bCs/>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eastAsia="zh-CN"/>
              </w:rPr>
              <w:t>到达</w:t>
            </w:r>
            <w:r>
              <w:rPr>
                <w:rFonts w:hint="eastAsia" w:ascii="仿宋_GB2312" w:hAnsi="仿宋_GB2312" w:eastAsia="仿宋_GB2312" w:cs="仿宋_GB2312"/>
                <w:b/>
                <w:bCs/>
                <w:i w:val="0"/>
                <w:color w:val="auto"/>
                <w:sz w:val="28"/>
                <w:szCs w:val="28"/>
                <w:highlight w:val="none"/>
                <w:u w:val="none"/>
                <w:lang w:val="en-US" w:eastAsia="zh-CN"/>
              </w:rPr>
              <w:t>92%满意</w:t>
            </w:r>
          </w:p>
        </w:tc>
      </w:tr>
    </w:tbl>
    <w:p>
      <w:pPr>
        <w:pStyle w:val="2"/>
        <w:rPr>
          <w:rFonts w:hint="eastAsia" w:hAnsi="宋体" w:cs="宋体"/>
          <w:b/>
          <w:bCs/>
          <w:color w:val="auto"/>
          <w:kern w:val="0"/>
          <w:sz w:val="32"/>
          <w:szCs w:val="32"/>
          <w:highlight w:val="none"/>
          <w:shd w:val="clear" w:color="auto" w:fill="FFFFFF"/>
          <w:lang w:val="en-US" w:eastAsia="zh-CN"/>
        </w:rPr>
      </w:pPr>
      <w:r>
        <w:rPr>
          <w:rFonts w:hint="eastAsia" w:hAnsi="宋体" w:cs="宋体"/>
          <w:b/>
          <w:bCs/>
          <w:color w:val="auto"/>
          <w:kern w:val="0"/>
          <w:sz w:val="32"/>
          <w:szCs w:val="32"/>
          <w:highlight w:val="none"/>
          <w:shd w:val="clear" w:color="auto" w:fill="FFFFFF"/>
          <w:lang w:val="zh-CN"/>
        </w:rPr>
        <w:t>附表</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en-US" w:eastAsia="zh-CN" w:bidi="ar-SA"/>
        </w:rPr>
        <w:t>2021年</w:t>
      </w:r>
      <w:r>
        <w:rPr>
          <w:rFonts w:hint="eastAsia" w:ascii="方正小标宋简体" w:hAnsi="方正小标宋简体" w:eastAsia="方正小标宋简体" w:cs="方正小标宋简体"/>
          <w:b/>
          <w:bCs/>
          <w:color w:val="auto"/>
          <w:kern w:val="2"/>
          <w:sz w:val="44"/>
          <w:szCs w:val="44"/>
          <w:highlight w:val="none"/>
          <w:lang w:val="zh-CN" w:eastAsia="zh-CN" w:bidi="ar-SA"/>
        </w:rPr>
        <w:t>信访远程视频服务项目</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zh-CN" w:eastAsia="zh-CN" w:bidi="ar-SA"/>
        </w:rPr>
        <w:t>支出绩效自评报告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b/>
          <w:bCs/>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lang w:val="zh-CN"/>
        </w:rPr>
      </w:pPr>
      <w:r>
        <w:rPr>
          <w:rFonts w:hint="eastAsia" w:ascii="黑体" w:hAnsi="宋体" w:eastAsia="黑体" w:cs="Times New Roman"/>
          <w:b/>
          <w:bCs/>
          <w:color w:val="auto"/>
          <w:sz w:val="32"/>
          <w:szCs w:val="32"/>
          <w:highlight w:val="none"/>
        </w:rPr>
        <w:t>一、</w:t>
      </w:r>
      <w:r>
        <w:rPr>
          <w:rFonts w:hint="eastAsia" w:ascii="黑体" w:hAnsi="宋体" w:eastAsia="黑体" w:cs="Times New Roman"/>
          <w:b/>
          <w:bCs/>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zh-CN" w:eastAsia="zh-CN"/>
        </w:rPr>
        <w:t>贯彻落实国家信访局《关于建设国家信访局视频信访系统有关事宜的通知》（国信发﹝2017﹞1号），推动四川省视频信访系统建设；联通国家、省、市、县机构，以及有权处理信访问题的职能部门，实现会议培训、接访会商、应急调度等工作应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1．项目主要内容。国家、省、市、县四级信访部门连接。</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zh-CN" w:eastAsia="zh-CN"/>
        </w:rPr>
      </w:pPr>
      <w:r>
        <w:rPr>
          <w:rFonts w:hint="eastAsia" w:ascii="仿宋_GB2312" w:hAnsi="宋体" w:eastAsia="仿宋_GB2312" w:cs="Times New Roman"/>
          <w:b/>
          <w:bCs/>
          <w:color w:val="auto"/>
          <w:sz w:val="32"/>
          <w:szCs w:val="32"/>
          <w:highlight w:val="none"/>
          <w:lang w:val="zh-CN"/>
        </w:rPr>
        <w:t>2．项目绩效目标。</w:t>
      </w:r>
      <w:r>
        <w:rPr>
          <w:rFonts w:hint="eastAsia" w:ascii="仿宋_GB2312" w:hAnsi="宋体" w:eastAsia="仿宋_GB2312"/>
          <w:b/>
          <w:bCs/>
          <w:sz w:val="32"/>
          <w:szCs w:val="32"/>
          <w:lang w:val="zh-CN" w:eastAsia="zh-CN"/>
        </w:rPr>
        <w:t>通过项目实施，主要完成支付市本级及七个县区的信访视频系统使用费；确保远程视频接访工作顺利开展；确保“国家、省、市、县”四级视频会议、业务培训等链接畅通。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3．评价申报情况。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申报内容与实际相符，申报目标合理可行。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（三）项目自评步骤及方法。</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zh-CN" w:eastAsia="zh-CN"/>
        </w:rPr>
        <w:t>按照项目评价要求，明确自评责任人，由使用科室先进行自评，在通过查验资料，局班子组织审评。</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（一）项目资金申报及批复情况。</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zh-CN" w:eastAsia="zh-CN"/>
        </w:rPr>
        <w:t>按照一般公共预算管理要求，年初进行项目资金申报，</w:t>
      </w:r>
      <w:r>
        <w:rPr>
          <w:rFonts w:hint="eastAsia" w:ascii="仿宋_GB2312" w:hAnsi="宋体" w:eastAsia="仿宋_GB2312"/>
          <w:b/>
          <w:bCs/>
          <w:sz w:val="32"/>
          <w:szCs w:val="32"/>
          <w:lang w:val="en-US" w:eastAsia="zh-CN"/>
        </w:rPr>
        <w:t>2021年广元市财政局通过《广元市财政局关于批复2021年市级部门预算的通知》文件下达我单位项目资金预算指标10.58万元。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（二）资金计划、到位及使用情况</w:t>
      </w:r>
    </w:p>
    <w:p>
      <w:pPr>
        <w:pageBreakBefore w:val="0"/>
        <w:kinsoku/>
        <w:wordWrap/>
        <w:overflowPunct/>
        <w:topLinePunct w:val="0"/>
        <w:bidi w:val="0"/>
        <w:adjustRightInd w:val="0"/>
        <w:snapToGrid w:val="0"/>
        <w:spacing w:line="576" w:lineRule="exact"/>
        <w:ind w:firstLine="72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zh-CN"/>
        </w:rPr>
        <w:t>1．资金计划。项目资金申报</w:t>
      </w:r>
      <w:r>
        <w:rPr>
          <w:rFonts w:hint="eastAsia" w:ascii="仿宋_GB2312" w:hAnsi="宋体" w:eastAsia="仿宋_GB2312"/>
          <w:b/>
          <w:bCs/>
          <w:sz w:val="32"/>
          <w:szCs w:val="32"/>
          <w:lang w:val="en-US" w:eastAsia="zh-CN"/>
        </w:rPr>
        <w:t>10.58万元，财政</w:t>
      </w:r>
      <w:r>
        <w:rPr>
          <w:rFonts w:hint="eastAsia" w:ascii="仿宋_GB2312" w:hAnsi="宋体" w:eastAsia="仿宋_GB2312"/>
          <w:b/>
          <w:bCs/>
          <w:sz w:val="32"/>
          <w:szCs w:val="32"/>
          <w:lang w:val="zh-CN"/>
        </w:rPr>
        <w:t>批复</w:t>
      </w:r>
      <w:r>
        <w:rPr>
          <w:rFonts w:hint="eastAsia" w:ascii="仿宋_GB2312" w:hAnsi="宋体" w:eastAsia="仿宋_GB2312"/>
          <w:b/>
          <w:bCs/>
          <w:sz w:val="32"/>
          <w:szCs w:val="32"/>
          <w:lang w:val="en-US" w:eastAsia="zh-CN"/>
        </w:rPr>
        <w:t>10.58万元。</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2．资金到位。该项目预算指标为</w:t>
      </w:r>
      <w:r>
        <w:rPr>
          <w:rFonts w:hint="eastAsia" w:ascii="仿宋_GB2312" w:hAnsi="宋体" w:eastAsia="仿宋_GB2312"/>
          <w:b/>
          <w:bCs/>
          <w:sz w:val="32"/>
          <w:szCs w:val="32"/>
          <w:lang w:val="en-US" w:eastAsia="zh-CN"/>
        </w:rPr>
        <w:t>10.58万元，截止2021年底，市财政实际拨付资金10.58万元，资金拨付率为100%。</w:t>
      </w:r>
    </w:p>
    <w:p>
      <w:pPr>
        <w:pageBreakBefore w:val="0"/>
        <w:kinsoku/>
        <w:wordWrap/>
        <w:overflowPunct/>
        <w:topLinePunct w:val="0"/>
        <w:bidi w:val="0"/>
        <w:adjustRightInd w:val="0"/>
        <w:snapToGrid w:val="0"/>
        <w:spacing w:line="576" w:lineRule="exact"/>
        <w:ind w:firstLine="72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zh-CN"/>
        </w:rPr>
        <w:t>3．资金使用。该项目资金全年支出</w:t>
      </w:r>
      <w:r>
        <w:rPr>
          <w:rFonts w:hint="eastAsia" w:ascii="仿宋_GB2312" w:hAnsi="宋体" w:eastAsia="仿宋_GB2312"/>
          <w:b/>
          <w:bCs/>
          <w:sz w:val="32"/>
          <w:szCs w:val="32"/>
          <w:lang w:val="en-US" w:eastAsia="zh-CN"/>
        </w:rPr>
        <w:t>10.58万元，支出进度为100%，主要用</w:t>
      </w:r>
      <w:r>
        <w:rPr>
          <w:rFonts w:hint="eastAsia" w:ascii="仿宋_GB2312" w:hAnsi="宋体" w:eastAsia="仿宋_GB2312"/>
          <w:b/>
          <w:bCs/>
          <w:sz w:val="32"/>
          <w:szCs w:val="32"/>
          <w:lang w:val="zh-CN" w:eastAsia="zh-CN"/>
        </w:rPr>
        <w:t>支付市本级及七个县区的信访视频系统使用费，设备维护及更换</w:t>
      </w:r>
      <w:r>
        <w:rPr>
          <w:rFonts w:hint="eastAsia" w:ascii="仿宋_GB2312" w:hAnsi="宋体" w:eastAsia="仿宋_GB2312"/>
          <w:b/>
          <w:bCs/>
          <w:sz w:val="32"/>
          <w:szCs w:val="32"/>
          <w:lang w:val="en-US" w:eastAsia="zh-CN"/>
        </w:rPr>
        <w:t>。在项目执行过程中，严格按照预算批复执行，未随意改变该项目资金支付范围、支付标准、严格预算执行进度和经费支出，确保资金使用安全、规范、高效。</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（三）项目财务管理情况。</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en-US" w:eastAsia="zh-CN"/>
        </w:rPr>
        <w:t>我单位严格按照财务管理相关制度规定，建立健全财务管理制度和内控制度，严格执行财务支出的报销制度，应附与经济业务事项相关的合法合规的原始凭证和附件，按规定的程序审核、审批，并有具体经办人、证明人、领导审批签字，进行支付，及时、规范进行财务处理及会计核算，做好专款专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宋体" w:eastAsia="仿宋_GB2312"/>
          <w:b/>
          <w:bCs/>
          <w:sz w:val="32"/>
          <w:szCs w:val="32"/>
          <w:lang w:val="en-US" w:eastAsia="zh-CN"/>
        </w:rPr>
      </w:pPr>
      <w:r>
        <w:rPr>
          <w:rFonts w:hint="eastAsia" w:ascii="楷体_GB2312" w:hAnsi="宋体" w:eastAsia="楷体_GB2312" w:cs="Times New Roman"/>
          <w:b/>
          <w:bCs/>
          <w:color w:val="auto"/>
          <w:sz w:val="32"/>
          <w:szCs w:val="32"/>
          <w:highlight w:val="none"/>
          <w:lang w:val="zh-CN"/>
        </w:rPr>
        <w:t>（一）项目组织架构及实施流程。</w:t>
      </w:r>
      <w:r>
        <w:rPr>
          <w:rFonts w:hint="eastAsia" w:ascii="仿宋_GB2312" w:hAnsi="宋体" w:eastAsia="仿宋_GB2312"/>
          <w:b/>
          <w:bCs/>
          <w:sz w:val="32"/>
          <w:szCs w:val="32"/>
          <w:lang w:val="zh-CN" w:eastAsia="zh-CN"/>
        </w:rPr>
        <w:t>该项目由接访一科负责申报和组织实施，由项目负责科室进行验收，向单位提供验收报告。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zh-CN" w:eastAsia="zh-CN"/>
        </w:rPr>
      </w:pPr>
      <w:r>
        <w:rPr>
          <w:rFonts w:hint="eastAsia" w:ascii="楷体_GB2312" w:hAnsi="宋体" w:eastAsia="楷体_GB2312" w:cs="Times New Roman"/>
          <w:b/>
          <w:bCs/>
          <w:color w:val="auto"/>
          <w:sz w:val="32"/>
          <w:szCs w:val="32"/>
          <w:highlight w:val="none"/>
          <w:lang w:val="zh-CN"/>
        </w:rPr>
        <w:t>（二）项目管理情况。</w:t>
      </w:r>
      <w:r>
        <w:rPr>
          <w:rFonts w:hint="eastAsia" w:ascii="仿宋_GB2312" w:hAnsi="宋体" w:eastAsia="仿宋_GB2312"/>
          <w:b/>
          <w:bCs/>
          <w:sz w:val="32"/>
          <w:szCs w:val="32"/>
          <w:lang w:val="zh-CN" w:eastAsia="zh-CN"/>
        </w:rPr>
        <w:t>通过立项、论证、审批等确认程序，并落实经费来源后组织实施，资金支付过程中专款专用，使用合规，支出依据规范，无虚列支出，无截留、挤占、挪用现象。</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eastAsia="zh-CN"/>
        </w:rPr>
      </w:pPr>
      <w:r>
        <w:rPr>
          <w:rFonts w:hint="eastAsia" w:ascii="楷体_GB2312" w:hAnsi="宋体" w:eastAsia="楷体_GB2312" w:cs="Times New Roman"/>
          <w:b/>
          <w:bCs/>
          <w:color w:val="auto"/>
          <w:sz w:val="32"/>
          <w:szCs w:val="32"/>
          <w:highlight w:val="none"/>
          <w:lang w:val="zh-CN"/>
        </w:rPr>
        <w:t>（三）项目监管情况。</w:t>
      </w:r>
      <w:r>
        <w:rPr>
          <w:rFonts w:hint="eastAsia" w:ascii="仿宋_GB2312" w:hAnsi="宋体" w:eastAsia="仿宋_GB2312"/>
          <w:b/>
          <w:bCs/>
          <w:sz w:val="32"/>
          <w:szCs w:val="32"/>
          <w:lang w:val="zh-CN" w:eastAsia="zh-CN"/>
        </w:rPr>
        <w:t>内控工作小组与内部纪检员定期对项目的实施和支付情况进行审核。</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黑体" w:hAnsi="宋体" w:eastAsia="黑体" w:cs="Times New Roman"/>
          <w:b/>
          <w:bCs/>
          <w:color w:val="auto"/>
          <w:sz w:val="32"/>
          <w:szCs w:val="32"/>
          <w:highlight w:val="none"/>
        </w:rPr>
        <w:t>四、项目绩效情况</w:t>
      </w:r>
      <w:r>
        <w:rPr>
          <w:rFonts w:hint="eastAsia" w:ascii="仿宋_GB2312" w:hAnsi="宋体" w:eastAsia="仿宋_GB2312" w:cs="Times New Roman"/>
          <w:b/>
          <w:bCs/>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（一）项目完成情况。</w:t>
      </w:r>
    </w:p>
    <w:p>
      <w:pPr>
        <w:pStyle w:val="2"/>
        <w:ind w:firstLine="643" w:firstLineChars="200"/>
        <w:rPr>
          <w:rFonts w:hint="default"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zh-CN" w:eastAsia="zh-CN" w:bidi="ar-SA"/>
        </w:rPr>
        <w:t>通过项目实施，完成了全年系统使用、维护费用支付，达到了逾期目标，截止评价时点任务完成</w:t>
      </w:r>
      <w:r>
        <w:rPr>
          <w:rFonts w:hint="eastAsia" w:ascii="仿宋_GB2312" w:hAnsi="宋体" w:eastAsia="仿宋_GB2312" w:cs="Times New Roman"/>
          <w:b/>
          <w:bCs/>
          <w:kern w:val="2"/>
          <w:sz w:val="32"/>
          <w:szCs w:val="32"/>
          <w:lang w:val="en-US" w:eastAsia="zh-CN" w:bidi="ar-SA"/>
        </w:rPr>
        <w:t>100%，未有资金超标和结余情况。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（二）项目效益情况。</w:t>
      </w:r>
    </w:p>
    <w:p>
      <w:pPr>
        <w:pStyle w:val="2"/>
        <w:ind w:firstLine="643" w:firstLineChars="200"/>
        <w:rPr>
          <w:rFonts w:hint="eastAsia" w:ascii="仿宋_GB2312" w:hAnsi="宋体" w:eastAsia="仿宋_GB2312" w:cs="Times New Roman"/>
          <w:b/>
          <w:bCs/>
          <w:kern w:val="2"/>
          <w:sz w:val="32"/>
          <w:szCs w:val="32"/>
          <w:lang w:val="zh-CN" w:eastAsia="zh-CN" w:bidi="ar-SA"/>
        </w:rPr>
      </w:pPr>
      <w:r>
        <w:rPr>
          <w:rFonts w:hint="eastAsia" w:ascii="仿宋_GB2312" w:hAnsi="宋体" w:eastAsia="仿宋_GB2312" w:cs="Times New Roman"/>
          <w:b/>
          <w:bCs/>
          <w:kern w:val="2"/>
          <w:sz w:val="32"/>
          <w:szCs w:val="32"/>
          <w:lang w:val="zh-CN" w:eastAsia="zh-CN" w:bidi="ar-SA"/>
        </w:rPr>
        <w:t>通过项目实施，保障了国家、省、市、县等四级信访部门信访远程视频接访、培训、会议等工作开展。</w:t>
      </w:r>
      <w:r>
        <w:rPr>
          <w:rFonts w:hint="eastAsia" w:ascii="仿宋_GB2312" w:hAnsi="宋体" w:eastAsia="仿宋_GB2312" w:cs="Times New Roman"/>
          <w:b/>
          <w:bCs/>
          <w:kern w:val="2"/>
          <w:sz w:val="32"/>
          <w:szCs w:val="32"/>
          <w:lang w:val="en-US" w:eastAsia="zh-CN" w:bidi="ar-SA"/>
        </w:rPr>
        <w:t>同时监督市、县两级领导落实领导按期接访的要求。</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（一）评价结论。</w:t>
      </w:r>
    </w:p>
    <w:p>
      <w:pPr>
        <w:pStyle w:val="2"/>
        <w:ind w:firstLine="643" w:firstLineChars="200"/>
        <w:rPr>
          <w:rFonts w:hint="eastAsia" w:ascii="仿宋_GB2312" w:hAnsi="宋体" w:eastAsia="仿宋_GB2312" w:cs="Times New Roman"/>
          <w:b/>
          <w:bCs/>
          <w:kern w:val="2"/>
          <w:sz w:val="32"/>
          <w:szCs w:val="32"/>
          <w:lang w:val="zh-CN" w:eastAsia="zh-CN" w:bidi="ar-SA"/>
        </w:rPr>
      </w:pPr>
      <w:r>
        <w:rPr>
          <w:rFonts w:hint="eastAsia" w:ascii="仿宋_GB2312" w:hAnsi="宋体" w:eastAsia="仿宋_GB2312" w:cs="Times New Roman"/>
          <w:b/>
          <w:bCs/>
          <w:kern w:val="2"/>
          <w:sz w:val="32"/>
          <w:szCs w:val="32"/>
          <w:lang w:val="zh-CN" w:eastAsia="zh-CN" w:bidi="ar-SA"/>
        </w:rPr>
        <w:t>信访远程视频服务的运用，有效的搭建了国家、省、市、县上进链接的平台，实现了全国信访业务统一培训。监督了市领导每季度一次，县领导每月一次开展信访接待的要求，同时本级信访群众在不出门的情况下就可预约上级信访部门同时视频接待，解决矛盾纠纷。</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（二）存在的问题。</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cs="Times New Roman"/>
          <w:b/>
          <w:bCs/>
          <w:kern w:val="2"/>
          <w:sz w:val="32"/>
          <w:szCs w:val="32"/>
          <w:lang w:val="zh-CN" w:eastAsia="zh-CN" w:bidi="ar-SA"/>
        </w:rPr>
      </w:pPr>
      <w:r>
        <w:rPr>
          <w:rFonts w:hint="eastAsia" w:ascii="仿宋_GB2312" w:hAnsi="宋体" w:eastAsia="仿宋_GB2312" w:cs="Times New Roman"/>
          <w:b/>
          <w:bCs/>
          <w:kern w:val="2"/>
          <w:sz w:val="32"/>
          <w:szCs w:val="32"/>
          <w:lang w:val="zh-CN" w:eastAsia="zh-CN" w:bidi="ar-SA"/>
        </w:rPr>
        <w:t>一是个别县区设施设备老化需要更新。二是使用功能还需扩大。</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（三）相关建议。</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cs="Times New Roman"/>
          <w:b/>
          <w:bCs/>
          <w:kern w:val="2"/>
          <w:sz w:val="32"/>
          <w:szCs w:val="32"/>
          <w:lang w:val="zh-CN" w:eastAsia="zh-CN" w:bidi="ar-SA"/>
        </w:rPr>
      </w:pPr>
      <w:r>
        <w:rPr>
          <w:rFonts w:hint="eastAsia" w:ascii="仿宋_GB2312" w:hAnsi="宋体" w:eastAsia="仿宋_GB2312" w:cs="Times New Roman"/>
          <w:b/>
          <w:bCs/>
          <w:kern w:val="2"/>
          <w:sz w:val="32"/>
          <w:szCs w:val="32"/>
          <w:lang w:val="zh-CN" w:eastAsia="zh-CN" w:bidi="ar-SA"/>
        </w:rPr>
        <w:t>继续加强和完善绩效管理体系，不断创新提高绩效管理水平。</w:t>
      </w: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bCs/>
                <w:i w:val="0"/>
                <w:color w:val="auto"/>
                <w:sz w:val="32"/>
                <w:szCs w:val="32"/>
                <w:highlight w:val="none"/>
                <w:u w:val="none"/>
              </w:rPr>
            </w:pPr>
            <w:r>
              <w:rPr>
                <w:rFonts w:hint="eastAsia" w:ascii="宋体" w:hAnsi="宋体" w:eastAsia="宋体" w:cs="宋体"/>
                <w:b/>
                <w:bCs/>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639001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lang w:eastAsia="zh-CN"/>
              </w:rPr>
            </w:pPr>
            <w:r>
              <w:rPr>
                <w:rFonts w:hint="eastAsia" w:ascii="宋体" w:hAnsi="宋体" w:cs="宋体"/>
                <w:b/>
                <w:bCs/>
                <w:i w:val="0"/>
                <w:color w:val="auto"/>
                <w:sz w:val="24"/>
                <w:szCs w:val="24"/>
                <w:highlight w:val="none"/>
                <w:u w:val="none"/>
                <w:lang w:eastAsia="zh-CN"/>
              </w:rPr>
              <w:t>中共广元市委群众工作局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项目预算</w:t>
            </w:r>
            <w:r>
              <w:rPr>
                <w:rFonts w:hint="eastAsia" w:ascii="宋体" w:hAnsi="宋体" w:eastAsia="宋体" w:cs="宋体"/>
                <w:b/>
                <w:bCs/>
                <w:i w:val="0"/>
                <w:color w:val="auto"/>
                <w:kern w:val="0"/>
                <w:sz w:val="24"/>
                <w:szCs w:val="24"/>
                <w:highlight w:val="none"/>
                <w:u w:val="none"/>
                <w:lang w:val="en-US" w:eastAsia="zh-CN" w:bidi="ar"/>
              </w:rPr>
              <w:br w:type="textWrapping"/>
            </w:r>
            <w:r>
              <w:rPr>
                <w:rFonts w:hint="eastAsia" w:ascii="宋体" w:hAnsi="宋体" w:eastAsia="宋体" w:cs="宋体"/>
                <w:b/>
                <w:bCs/>
                <w:i w:val="0"/>
                <w:color w:val="auto"/>
                <w:kern w:val="0"/>
                <w:sz w:val="24"/>
                <w:szCs w:val="24"/>
                <w:highlight w:val="none"/>
                <w:u w:val="none"/>
                <w:lang w:val="en-US" w:eastAsia="zh-CN" w:bidi="ar"/>
              </w:rPr>
              <w:t>执行情况</w:t>
            </w:r>
            <w:r>
              <w:rPr>
                <w:rFonts w:hint="eastAsia" w:ascii="宋体" w:hAnsi="宋体" w:eastAsia="宋体" w:cs="宋体"/>
                <w:b/>
                <w:bCs/>
                <w:i w:val="0"/>
                <w:color w:val="auto"/>
                <w:kern w:val="0"/>
                <w:sz w:val="24"/>
                <w:szCs w:val="24"/>
                <w:highlight w:val="none"/>
                <w:u w:val="none"/>
                <w:lang w:val="en-US" w:eastAsia="zh-CN" w:bidi="ar"/>
              </w:rPr>
              <w:br w:type="textWrapping"/>
            </w:r>
            <w:r>
              <w:rPr>
                <w:rFonts w:hint="eastAsia" w:ascii="宋体" w:hAnsi="宋体" w:eastAsia="宋体" w:cs="宋体"/>
                <w:b/>
                <w:bCs/>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10.58万元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10.58万元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cs="宋体"/>
                <w:b/>
                <w:bCs/>
                <w:i w:val="0"/>
                <w:color w:val="auto"/>
                <w:sz w:val="24"/>
                <w:szCs w:val="24"/>
                <w:highlight w:val="none"/>
                <w:u w:val="none"/>
                <w:lang w:val="en-US" w:eastAsia="zh-CN"/>
              </w:rPr>
              <w:t>10.58万元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cs="宋体"/>
                <w:b/>
                <w:bCs/>
                <w:i w:val="0"/>
                <w:color w:val="auto"/>
                <w:sz w:val="24"/>
                <w:szCs w:val="24"/>
                <w:highlight w:val="none"/>
                <w:u w:val="none"/>
                <w:lang w:val="en-US" w:eastAsia="zh-CN"/>
              </w:rPr>
              <w:t>10.58万元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7"/>
              </w:numPr>
              <w:bidi w:val="0"/>
              <w:rPr>
                <w:rFonts w:hint="default"/>
                <w:b/>
                <w:bCs/>
                <w:lang w:val="en-US" w:eastAsia="zh-CN"/>
              </w:rPr>
            </w:pPr>
            <w:r>
              <w:rPr>
                <w:rFonts w:hint="eastAsia"/>
                <w:b/>
                <w:bCs/>
                <w:lang w:val="en-US" w:eastAsia="zh-CN"/>
              </w:rPr>
              <w:t>联通国家、省、市、县机构，实现会议培训、接访会商、应急调度等工作应用。2、确保远程视频接访工作、培训、会议顺利开展。</w:t>
            </w:r>
          </w:p>
          <w:p>
            <w:pPr>
              <w:numPr>
                <w:ilvl w:val="0"/>
                <w:numId w:val="0"/>
              </w:numPr>
              <w:bidi w:val="0"/>
              <w:rPr>
                <w:rFonts w:hint="default"/>
                <w:b/>
                <w:bCs/>
                <w:lang w:val="en-US" w:eastAsia="zh-CN"/>
              </w:rPr>
            </w:pPr>
            <w:r>
              <w:rPr>
                <w:rFonts w:hint="eastAsia"/>
                <w:b/>
                <w:bCs/>
                <w:lang w:val="en-US" w:eastAsia="zh-CN"/>
              </w:rPr>
              <w:t>3、对设备进行维护、技术保障。</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0"/>
              </w:numPr>
              <w:bidi w:val="0"/>
              <w:rPr>
                <w:rFonts w:hint="eastAsia"/>
                <w:b/>
                <w:bCs/>
                <w:lang w:val="en-US" w:eastAsia="zh-CN"/>
              </w:rPr>
            </w:pPr>
            <w:r>
              <w:rPr>
                <w:rFonts w:hint="eastAsia"/>
                <w:b/>
                <w:bCs/>
                <w:lang w:val="en-US" w:eastAsia="zh-CN"/>
              </w:rPr>
              <w:t>1、联通国家、省、市、县机构，实现会议培训、接访会商、应急调度等工作应用。</w:t>
            </w:r>
          </w:p>
          <w:p>
            <w:pPr>
              <w:numPr>
                <w:ilvl w:val="0"/>
                <w:numId w:val="0"/>
              </w:numPr>
              <w:bidi w:val="0"/>
              <w:rPr>
                <w:rFonts w:hint="default"/>
                <w:b/>
                <w:bCs/>
                <w:lang w:val="en-US" w:eastAsia="zh-CN"/>
              </w:rPr>
            </w:pPr>
            <w:r>
              <w:rPr>
                <w:rFonts w:hint="eastAsia"/>
                <w:b/>
                <w:bCs/>
                <w:lang w:val="en-US" w:eastAsia="zh-CN"/>
              </w:rPr>
              <w:t>2、确保远程视频接访工作、培训、会议顺利开展。</w:t>
            </w:r>
          </w:p>
          <w:p>
            <w:pPr>
              <w:numPr>
                <w:ilvl w:val="0"/>
                <w:numId w:val="0"/>
              </w:numPr>
              <w:bidi w:val="0"/>
              <w:rPr>
                <w:rFonts w:hint="default" w:ascii="宋体" w:hAnsi="宋体" w:cs="宋体"/>
                <w:b/>
                <w:bCs/>
                <w:i w:val="0"/>
                <w:color w:val="auto"/>
                <w:szCs w:val="24"/>
                <w:highlight w:val="none"/>
                <w:u w:val="none"/>
                <w:lang w:val="en-US" w:eastAsia="zh-CN"/>
              </w:rPr>
            </w:pPr>
            <w:r>
              <w:rPr>
                <w:rFonts w:hint="eastAsia"/>
                <w:b/>
                <w:bCs/>
                <w:lang w:val="en-US" w:eastAsia="zh-CN"/>
              </w:rPr>
              <w:t>3、对设备进行维护、技术保障。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使用套数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val="en-US" w:eastAsia="zh-CN"/>
              </w:rPr>
              <w:t>8套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eastAsia="zh-CN"/>
              </w:rPr>
              <w:t>技术保障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Times New Roman" w:hAnsi="Times New Roman" w:eastAsia="宋体" w:cs="Times New Roman"/>
                <w:b/>
                <w:bCs/>
                <w:kern w:val="2"/>
                <w:sz w:val="21"/>
                <w:szCs w:val="24"/>
                <w:lang w:val="en-US" w:eastAsia="zh-CN" w:bidi="ar-SA"/>
              </w:rPr>
            </w:pPr>
            <w:r>
              <w:rPr>
                <w:rFonts w:hint="eastAsia"/>
                <w:b/>
                <w:bCs/>
                <w:lang w:eastAsia="zh-CN"/>
              </w:rPr>
              <w:t>远程接待、会议、培训</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kern w:val="2"/>
                <w:sz w:val="28"/>
                <w:szCs w:val="28"/>
                <w:highlight w:val="none"/>
                <w:u w:val="none"/>
                <w:lang w:val="en-US" w:eastAsia="zh-CN" w:bidi="ar-SA"/>
              </w:rPr>
            </w:pPr>
            <w:r>
              <w:rPr>
                <w:rFonts w:hint="default" w:ascii="仿宋_GB2312" w:hAnsi="仿宋_GB2312" w:eastAsia="仿宋_GB2312" w:cs="仿宋_GB2312"/>
                <w:b/>
                <w:bCs/>
                <w:i w:val="0"/>
                <w:color w:val="auto"/>
                <w:sz w:val="28"/>
                <w:szCs w:val="28"/>
                <w:highlight w:val="none"/>
                <w:u w:val="none"/>
                <w:lang w:val="en-US" w:eastAsia="zh-CN"/>
              </w:rPr>
              <w:t>≥20次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2"/>
                <w:sz w:val="28"/>
                <w:szCs w:val="28"/>
                <w:highlight w:val="none"/>
                <w:u w:val="none"/>
                <w:lang w:val="en-US" w:eastAsia="zh-CN" w:bidi="ar-SA"/>
              </w:rPr>
            </w:pPr>
            <w:r>
              <w:rPr>
                <w:rFonts w:hint="eastAsia" w:ascii="仿宋_GB2312" w:hAnsi="仿宋_GB2312" w:eastAsia="仿宋_GB2312" w:cs="仿宋_GB2312"/>
                <w:b/>
                <w:bCs/>
                <w:i w:val="0"/>
                <w:color w:val="auto"/>
                <w:sz w:val="28"/>
                <w:szCs w:val="28"/>
                <w:highlight w:val="none"/>
                <w:u w:val="none"/>
                <w:lang w:val="en-US" w:eastAsia="zh-CN"/>
              </w:rPr>
              <w:t>23次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eastAsia="zh-CN"/>
              </w:rPr>
              <w:t>运行完好</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运行时限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2021年1-12月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所需经费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10.58万元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群众信访</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val="en-US" w:eastAsia="zh-CN"/>
              </w:rPr>
              <w:t>远程信访接待</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b/>
                <w:bCs/>
                <w:lang w:val="en-US" w:eastAsia="zh-CN"/>
              </w:rPr>
            </w:pPr>
            <w:r>
              <w:rPr>
                <w:rFonts w:hint="eastAsia"/>
                <w:b/>
                <w:bCs/>
                <w:lang w:val="en-US" w:eastAsia="zh-CN"/>
              </w:rPr>
              <w:t>群众可在本县约访市级部门通过远程视频接待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系统连接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eastAsia="zh-CN"/>
              </w:rPr>
              <w:t>四级联通</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val="en-US" w:eastAsia="zh-CN"/>
              </w:rPr>
            </w:pPr>
            <w:r>
              <w:rPr>
                <w:rFonts w:hint="eastAsia"/>
                <w:b/>
                <w:bCs/>
                <w:lang w:val="en-US" w:eastAsia="zh-CN"/>
              </w:rPr>
              <w:t>实现国家、省、市、县联通，开展培训、会议、信访接待。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满意</w:t>
            </w:r>
            <w:r>
              <w:rPr>
                <w:rFonts w:hint="eastAsia" w:ascii="仿宋_GB2312" w:hAnsi="仿宋_GB2312" w:eastAsia="仿宋_GB2312" w:cs="仿宋_GB2312"/>
                <w:b/>
                <w:bCs/>
                <w:i w:val="0"/>
                <w:color w:val="auto"/>
                <w:kern w:val="0"/>
                <w:sz w:val="28"/>
                <w:szCs w:val="28"/>
                <w:highlight w:val="none"/>
                <w:u w:val="none"/>
                <w:lang w:val="en-US" w:eastAsia="zh-CN" w:bidi="ar"/>
              </w:rPr>
              <w:br w:type="textWrapping"/>
            </w:r>
            <w:r>
              <w:rPr>
                <w:rFonts w:hint="eastAsia" w:ascii="仿宋_GB2312" w:hAnsi="仿宋_GB2312" w:eastAsia="仿宋_GB2312" w:cs="仿宋_GB2312"/>
                <w:b/>
                <w:bCs/>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eastAsia="zh-CN"/>
              </w:rPr>
              <w:t>到达</w:t>
            </w:r>
            <w:r>
              <w:rPr>
                <w:rFonts w:hint="eastAsia" w:ascii="仿宋_GB2312" w:hAnsi="仿宋_GB2312" w:eastAsia="仿宋_GB2312" w:cs="仿宋_GB2312"/>
                <w:b/>
                <w:bCs/>
                <w:i w:val="0"/>
                <w:color w:val="auto"/>
                <w:sz w:val="28"/>
                <w:szCs w:val="28"/>
                <w:highlight w:val="none"/>
                <w:u w:val="none"/>
                <w:lang w:val="en-US" w:eastAsia="zh-CN"/>
              </w:rPr>
              <w:t>92%满意</w:t>
            </w:r>
          </w:p>
        </w:tc>
      </w:tr>
    </w:tbl>
    <w:p>
      <w:pPr>
        <w:pStyle w:val="2"/>
        <w:rPr>
          <w:rFonts w:hint="eastAsia" w:hAnsi="宋体" w:cs="宋体"/>
          <w:b/>
          <w:bCs/>
          <w:color w:val="auto"/>
          <w:kern w:val="0"/>
          <w:sz w:val="32"/>
          <w:szCs w:val="32"/>
          <w:highlight w:val="none"/>
          <w:shd w:val="clear" w:color="auto" w:fill="FFFFFF"/>
          <w:lang w:val="en-US" w:eastAsia="zh-CN"/>
        </w:rPr>
      </w:pPr>
      <w:r>
        <w:rPr>
          <w:rFonts w:hint="eastAsia" w:hAnsi="宋体" w:cs="宋体"/>
          <w:b/>
          <w:bCs/>
          <w:color w:val="auto"/>
          <w:kern w:val="0"/>
          <w:sz w:val="32"/>
          <w:szCs w:val="32"/>
          <w:highlight w:val="none"/>
          <w:shd w:val="clear" w:color="auto" w:fill="FFFFFF"/>
          <w:lang w:val="zh-CN"/>
        </w:rPr>
        <w:t>附表</w:t>
      </w:r>
    </w:p>
    <w:p>
      <w:pPr>
        <w:spacing w:line="580" w:lineRule="exact"/>
        <w:rPr>
          <w:rStyle w:val="24"/>
          <w:rFonts w:ascii="黑体" w:hAnsi="黑体" w:eastAsia="黑体"/>
          <w:b/>
          <w:bCs/>
          <w:color w:val="auto"/>
          <w:highlight w:val="none"/>
        </w:rPr>
      </w:pPr>
    </w:p>
    <w:p>
      <w:pPr>
        <w:widowControl/>
        <w:jc w:val="left"/>
        <w:rPr>
          <w:rStyle w:val="24"/>
          <w:rFonts w:ascii="黑体" w:hAnsi="黑体" w:eastAsia="黑体"/>
          <w:b/>
          <w:bCs/>
          <w:color w:val="auto"/>
          <w:highlight w:val="none"/>
        </w:rPr>
      </w:pPr>
      <w:r>
        <w:rPr>
          <w:rStyle w:val="24"/>
          <w:rFonts w:ascii="黑体" w:hAnsi="黑体" w:eastAsia="黑体"/>
          <w:b/>
          <w:bCs/>
          <w:color w:val="auto"/>
          <w:highlight w:val="none"/>
        </w:rPr>
        <w:br w:type="page"/>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en-US" w:eastAsia="zh-CN" w:bidi="ar-SA"/>
        </w:rPr>
        <w:t>2021年</w:t>
      </w:r>
      <w:r>
        <w:rPr>
          <w:rFonts w:hint="eastAsia" w:ascii="方正小标宋简体" w:hAnsi="方正小标宋简体" w:eastAsia="方正小标宋简体" w:cs="方正小标宋简体"/>
          <w:b/>
          <w:bCs/>
          <w:color w:val="auto"/>
          <w:kern w:val="2"/>
          <w:sz w:val="44"/>
          <w:szCs w:val="44"/>
          <w:highlight w:val="none"/>
          <w:lang w:val="zh-CN" w:eastAsia="zh-CN" w:bidi="ar-SA"/>
        </w:rPr>
        <w:t>信访维稳信息费项目</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zh-CN" w:eastAsia="zh-CN" w:bidi="ar-SA"/>
        </w:rPr>
        <w:t>支出绩效自评报告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b/>
          <w:bCs/>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lang w:val="zh-CN"/>
        </w:rPr>
      </w:pPr>
      <w:r>
        <w:rPr>
          <w:rFonts w:hint="eastAsia" w:ascii="黑体" w:hAnsi="宋体" w:eastAsia="黑体" w:cs="Times New Roman"/>
          <w:b/>
          <w:bCs/>
          <w:color w:val="auto"/>
          <w:sz w:val="32"/>
          <w:szCs w:val="32"/>
          <w:highlight w:val="none"/>
        </w:rPr>
        <w:t>一、</w:t>
      </w:r>
      <w:r>
        <w:rPr>
          <w:rFonts w:hint="eastAsia" w:ascii="黑体" w:hAnsi="宋体" w:eastAsia="黑体" w:cs="Times New Roman"/>
          <w:b/>
          <w:bCs/>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zh-CN" w:eastAsia="zh-CN"/>
        </w:rPr>
        <w:t>根据川委厅﹝2020﹞</w:t>
      </w:r>
      <w:r>
        <w:rPr>
          <w:rFonts w:hint="eastAsia" w:ascii="仿宋_GB2312" w:hAnsi="宋体" w:eastAsia="仿宋_GB2312"/>
          <w:b/>
          <w:bCs/>
          <w:sz w:val="32"/>
          <w:szCs w:val="32"/>
          <w:lang w:val="en-US" w:eastAsia="zh-CN"/>
        </w:rPr>
        <w:t>48号、</w:t>
      </w:r>
      <w:r>
        <w:rPr>
          <w:rFonts w:hint="eastAsia" w:ascii="仿宋_GB2312" w:hAnsi="宋体" w:eastAsia="仿宋_GB2312"/>
          <w:b/>
          <w:bCs/>
          <w:sz w:val="32"/>
          <w:szCs w:val="32"/>
          <w:lang w:val="zh-CN" w:eastAsia="zh-CN"/>
        </w:rPr>
        <w:t>川委办﹝2014﹞28号、 广信联办﹝2017﹞23号 相关文件的要求，把来信、来访、网上投诉纳入网上流转，实现网上录入、管理、督查、绩效考评，实现网上信访实名制，由于支付网站平台的运行服务费用。</w:t>
      </w:r>
      <w:r>
        <w:rPr>
          <w:rFonts w:hint="eastAsia"/>
          <w:b/>
          <w:bCs/>
          <w:sz w:val="32"/>
          <w:szCs w:val="32"/>
          <w:lang w:val="zh-CN" w:eastAsia="zh-CN"/>
        </w:rPr>
        <w:t xml:space="preserve"> </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zh-CN" w:eastAsia="zh-CN"/>
        </w:rPr>
        <w:t>1．项目主要内容。支付各个信访受理平台年费、维护费用等。</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zh-CN" w:eastAsia="zh-CN"/>
        </w:rPr>
        <w:t>2．项目绩效目标。通过项目实施，建设“信、访、 网、电”四位一体，以网上受理为主的诉求表达格局，把来信、来访、网上投诉等纳入网上流转；做好全国网上信访信息综合平台对接工作；开通信访信息系统全市信访办理过程中及时受理、按期办理、群众满意度评价等数据分析。</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zh-CN" w:eastAsia="zh-CN"/>
        </w:rPr>
        <w:t>3．评价申报情况。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zh-CN" w:eastAsia="zh-CN"/>
        </w:rPr>
        <w:t>申报内容与实际相符，申报目标合理可行。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（三）项目自评步骤及方法。</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zh-CN" w:eastAsia="zh-CN"/>
        </w:rPr>
        <w:t>按照项目评价要求，明确自评责任人，由使用科室先进行自评，在通过查验资料，局班子组织审评。</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zh-CN" w:eastAsia="zh-CN"/>
        </w:rPr>
        <w:t>按照一般公共预算管理要求，年初进行项目资金申报，</w:t>
      </w:r>
      <w:r>
        <w:rPr>
          <w:rFonts w:hint="eastAsia" w:ascii="仿宋_GB2312" w:hAnsi="宋体" w:eastAsia="仿宋_GB2312"/>
          <w:b/>
          <w:bCs/>
          <w:sz w:val="32"/>
          <w:szCs w:val="32"/>
          <w:lang w:val="en-US" w:eastAsia="zh-CN"/>
        </w:rPr>
        <w:t>2021年广元市财政局通过《广元市财政局关于批复2021年市级部门预算的通知》文件下达我单位项目资金预算指标4.50万元。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（二）资金计划、到位及使用情况</w:t>
      </w:r>
    </w:p>
    <w:p>
      <w:pPr>
        <w:pageBreakBefore w:val="0"/>
        <w:kinsoku/>
        <w:wordWrap/>
        <w:overflowPunct/>
        <w:topLinePunct w:val="0"/>
        <w:bidi w:val="0"/>
        <w:adjustRightInd w:val="0"/>
        <w:snapToGrid w:val="0"/>
        <w:spacing w:line="576" w:lineRule="exact"/>
        <w:ind w:firstLine="72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zh-CN"/>
        </w:rPr>
        <w:t>1．资金计划。项目资金申报</w:t>
      </w:r>
      <w:r>
        <w:rPr>
          <w:rFonts w:hint="eastAsia" w:ascii="仿宋_GB2312" w:hAnsi="宋体" w:eastAsia="仿宋_GB2312"/>
          <w:b/>
          <w:bCs/>
          <w:sz w:val="32"/>
          <w:szCs w:val="32"/>
          <w:lang w:val="en-US" w:eastAsia="zh-CN"/>
        </w:rPr>
        <w:t>4.50万元，财政</w:t>
      </w:r>
      <w:r>
        <w:rPr>
          <w:rFonts w:hint="eastAsia" w:ascii="仿宋_GB2312" w:hAnsi="宋体" w:eastAsia="仿宋_GB2312"/>
          <w:b/>
          <w:bCs/>
          <w:sz w:val="32"/>
          <w:szCs w:val="32"/>
          <w:lang w:val="zh-CN"/>
        </w:rPr>
        <w:t>批复</w:t>
      </w:r>
      <w:r>
        <w:rPr>
          <w:rFonts w:hint="eastAsia" w:ascii="仿宋_GB2312" w:hAnsi="宋体" w:eastAsia="仿宋_GB2312"/>
          <w:b/>
          <w:bCs/>
          <w:sz w:val="32"/>
          <w:szCs w:val="32"/>
          <w:lang w:val="en-US" w:eastAsia="zh-CN"/>
        </w:rPr>
        <w:t>4.50万元。</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2．资金到位。该项目预算指标为</w:t>
      </w:r>
      <w:r>
        <w:rPr>
          <w:rFonts w:hint="eastAsia" w:ascii="仿宋_GB2312" w:hAnsi="宋体" w:eastAsia="仿宋_GB2312"/>
          <w:b/>
          <w:bCs/>
          <w:sz w:val="32"/>
          <w:szCs w:val="32"/>
          <w:lang w:val="en-US" w:eastAsia="zh-CN"/>
        </w:rPr>
        <w:t>4.50万元，截止2021年底，市财政实际拨付资金4.50万元，资金拨付率为100%。</w:t>
      </w:r>
    </w:p>
    <w:p>
      <w:pPr>
        <w:pageBreakBefore w:val="0"/>
        <w:kinsoku/>
        <w:wordWrap/>
        <w:overflowPunct/>
        <w:topLinePunct w:val="0"/>
        <w:bidi w:val="0"/>
        <w:adjustRightInd w:val="0"/>
        <w:snapToGrid w:val="0"/>
        <w:spacing w:line="576" w:lineRule="exact"/>
        <w:ind w:firstLine="72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zh-CN"/>
        </w:rPr>
        <w:t>3．资金使用。该项目资金全年支出</w:t>
      </w:r>
      <w:r>
        <w:rPr>
          <w:rFonts w:hint="eastAsia" w:ascii="仿宋_GB2312" w:hAnsi="宋体" w:eastAsia="仿宋_GB2312"/>
          <w:b/>
          <w:bCs/>
          <w:sz w:val="32"/>
          <w:szCs w:val="32"/>
          <w:lang w:val="en-US" w:eastAsia="zh-CN"/>
        </w:rPr>
        <w:t>4.50万元，支出进度为100%，主要用</w:t>
      </w:r>
      <w:r>
        <w:rPr>
          <w:rFonts w:hint="eastAsia" w:ascii="仿宋_GB2312" w:hAnsi="宋体" w:eastAsia="仿宋_GB2312"/>
          <w:b/>
          <w:bCs/>
          <w:sz w:val="32"/>
          <w:szCs w:val="32"/>
          <w:lang w:val="zh-CN" w:eastAsia="zh-CN"/>
        </w:rPr>
        <w:t>支付各个信访受理平台年费及维护费用</w:t>
      </w:r>
      <w:r>
        <w:rPr>
          <w:rFonts w:hint="eastAsia" w:ascii="仿宋_GB2312" w:hAnsi="宋体" w:eastAsia="仿宋_GB2312"/>
          <w:b/>
          <w:bCs/>
          <w:sz w:val="32"/>
          <w:szCs w:val="32"/>
          <w:lang w:val="en-US" w:eastAsia="zh-CN"/>
        </w:rPr>
        <w:t>。在项目执行过程中，严格按照预算批复执行，未随意改变该项目资金支付范围、支付标准、严格预算执行进度和经费支出，确保资金使用安全、规范、高效。</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（三）项目财务管理情况。</w:t>
      </w:r>
    </w:p>
    <w:p>
      <w:pPr>
        <w:pageBreakBefore w:val="0"/>
        <w:numPr>
          <w:ilvl w:val="0"/>
          <w:numId w:val="0"/>
        </w:numPr>
        <w:kinsoku/>
        <w:wordWrap/>
        <w:overflowPunct/>
        <w:topLinePunct w:val="0"/>
        <w:bidi w:val="0"/>
        <w:adjustRightInd w:val="0"/>
        <w:snapToGrid w:val="0"/>
        <w:spacing w:line="576" w:lineRule="exact"/>
        <w:ind w:firstLine="643" w:firstLineChars="200"/>
        <w:rPr>
          <w:rFonts w:ascii="仿宋_GB2312" w:hAnsi="宋体" w:eastAsia="仿宋_GB2312"/>
          <w:b/>
          <w:bCs/>
          <w:sz w:val="32"/>
          <w:szCs w:val="32"/>
          <w:lang w:val="zh-CN"/>
        </w:rPr>
      </w:pPr>
      <w:r>
        <w:rPr>
          <w:rFonts w:hint="eastAsia" w:ascii="仿宋_GB2312" w:eastAsia="仿宋_GB2312" w:cs="Times New Roman"/>
          <w:b/>
          <w:bCs/>
          <w:kern w:val="0"/>
          <w:sz w:val="32"/>
          <w:szCs w:val="32"/>
          <w:lang w:val="en-US" w:eastAsia="zh-CN" w:bidi="ar-SA"/>
        </w:rPr>
        <w:t>我单位严格按照财务管理相关制度规定，建立健全财务管理制度和内控制度，</w:t>
      </w:r>
      <w:r>
        <w:rPr>
          <w:rFonts w:hint="eastAsia" w:ascii="仿宋_GB2312" w:hAnsi="Times New Roman" w:eastAsia="仿宋_GB2312" w:cs="Times New Roman"/>
          <w:b/>
          <w:bCs/>
          <w:kern w:val="0"/>
          <w:sz w:val="32"/>
          <w:szCs w:val="32"/>
          <w:lang w:val="en-US" w:eastAsia="zh-CN" w:bidi="ar-SA"/>
        </w:rPr>
        <w:t>严格执行财务支出的报销制度，应附与经济业务事项相关的合法合规的原始凭证和附件，按规定的程序审核、审批，并有具体经办人、证明人、领导审批签字，进行支付</w:t>
      </w:r>
      <w:r>
        <w:rPr>
          <w:rFonts w:hint="eastAsia" w:ascii="仿宋_GB2312" w:eastAsia="仿宋_GB2312" w:cs="Times New Roman"/>
          <w:b/>
          <w:bCs/>
          <w:kern w:val="0"/>
          <w:sz w:val="32"/>
          <w:szCs w:val="32"/>
          <w:lang w:val="en-US" w:eastAsia="zh-CN" w:bidi="ar-SA"/>
        </w:rPr>
        <w:t>，及时、规范进行财务处理及会计核算，做好专款专用。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eastAsia="仿宋_GB2312" w:cs="Times New Roman"/>
          <w:b/>
          <w:bCs/>
          <w:kern w:val="0"/>
          <w:sz w:val="32"/>
          <w:szCs w:val="32"/>
          <w:lang w:val="en-US" w:eastAsia="zh-CN" w:bidi="ar-SA"/>
        </w:rPr>
      </w:pPr>
      <w:r>
        <w:rPr>
          <w:rFonts w:hint="eastAsia" w:ascii="楷体_GB2312" w:hAnsi="宋体" w:eastAsia="楷体_GB2312" w:cs="Times New Roman"/>
          <w:b/>
          <w:bCs/>
          <w:color w:val="auto"/>
          <w:sz w:val="32"/>
          <w:szCs w:val="32"/>
          <w:highlight w:val="none"/>
          <w:lang w:val="zh-CN"/>
        </w:rPr>
        <w:t>（一）项目组织架构及实施流程。</w:t>
      </w:r>
      <w:r>
        <w:rPr>
          <w:rFonts w:hint="eastAsia" w:ascii="仿宋_GB2312" w:eastAsia="仿宋_GB2312" w:cs="Times New Roman"/>
          <w:b/>
          <w:bCs/>
          <w:kern w:val="0"/>
          <w:sz w:val="32"/>
          <w:szCs w:val="32"/>
          <w:lang w:val="zh-CN" w:eastAsia="zh-CN" w:bidi="ar-SA"/>
        </w:rPr>
        <w:t>该项目由群众来信办理科负责申报和组织实施，由项目负责科室进行验收，向单位提供验收报告。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eastAsia="仿宋_GB2312" w:cs="Times New Roman"/>
          <w:b/>
          <w:bCs/>
          <w:kern w:val="0"/>
          <w:sz w:val="32"/>
          <w:szCs w:val="32"/>
          <w:lang w:val="zh-CN" w:eastAsia="zh-CN" w:bidi="ar-SA"/>
        </w:rPr>
      </w:pPr>
      <w:r>
        <w:rPr>
          <w:rFonts w:hint="eastAsia" w:ascii="楷体_GB2312" w:hAnsi="宋体" w:eastAsia="楷体_GB2312" w:cs="Times New Roman"/>
          <w:b/>
          <w:bCs/>
          <w:color w:val="auto"/>
          <w:sz w:val="32"/>
          <w:szCs w:val="32"/>
          <w:highlight w:val="none"/>
          <w:lang w:val="zh-CN"/>
        </w:rPr>
        <w:t>（二）项目管理情况。</w:t>
      </w:r>
      <w:r>
        <w:rPr>
          <w:rFonts w:hint="eastAsia" w:ascii="仿宋_GB2312" w:eastAsia="仿宋_GB2312" w:cs="Times New Roman"/>
          <w:b/>
          <w:bCs/>
          <w:kern w:val="0"/>
          <w:sz w:val="32"/>
          <w:szCs w:val="32"/>
          <w:lang w:val="zh-CN" w:eastAsia="zh-CN" w:bidi="ar-SA"/>
        </w:rPr>
        <w:t>通过立项、论证、审批等确认程序，并落实经费来源后组织实施，资金支付过程中</w:t>
      </w:r>
      <w:r>
        <w:rPr>
          <w:rFonts w:hint="eastAsia" w:ascii="仿宋_GB2312" w:hAnsi="Times New Roman" w:eastAsia="仿宋_GB2312" w:cs="Times New Roman"/>
          <w:b/>
          <w:bCs/>
          <w:kern w:val="0"/>
          <w:sz w:val="32"/>
          <w:szCs w:val="32"/>
          <w:lang w:val="zh-CN" w:eastAsia="zh-CN" w:bidi="ar-SA"/>
        </w:rPr>
        <w:t>专款专用，使用合规，支出依据规范，无虚列支出，无截留、挤占、挪用现象。</w:t>
      </w:r>
    </w:p>
    <w:p>
      <w:pPr>
        <w:pageBreakBefore w:val="0"/>
        <w:kinsoku/>
        <w:wordWrap/>
        <w:overflowPunct/>
        <w:topLinePunct w:val="0"/>
        <w:bidi w:val="0"/>
        <w:adjustRightInd w:val="0"/>
        <w:snapToGrid w:val="0"/>
        <w:spacing w:line="576" w:lineRule="exact"/>
        <w:ind w:firstLine="720"/>
        <w:rPr>
          <w:rFonts w:hint="eastAsia" w:ascii="仿宋_GB2312" w:hAnsi="Times New Roman" w:eastAsia="仿宋_GB2312" w:cs="Times New Roman"/>
          <w:b/>
          <w:bCs/>
          <w:kern w:val="0"/>
          <w:sz w:val="32"/>
          <w:szCs w:val="32"/>
          <w:lang w:val="zh-CN" w:eastAsia="zh-CN" w:bidi="ar-SA"/>
        </w:rPr>
      </w:pPr>
      <w:r>
        <w:rPr>
          <w:rFonts w:hint="eastAsia" w:ascii="楷体_GB2312" w:hAnsi="宋体" w:eastAsia="楷体_GB2312" w:cs="Times New Roman"/>
          <w:b/>
          <w:bCs/>
          <w:color w:val="auto"/>
          <w:sz w:val="32"/>
          <w:szCs w:val="32"/>
          <w:highlight w:val="none"/>
          <w:lang w:val="zh-CN"/>
        </w:rPr>
        <w:t>（三）项目监管情况。</w:t>
      </w:r>
      <w:r>
        <w:rPr>
          <w:rFonts w:hint="eastAsia" w:ascii="仿宋_GB2312" w:hAnsi="Times New Roman" w:eastAsia="仿宋_GB2312" w:cs="Times New Roman"/>
          <w:b/>
          <w:bCs/>
          <w:kern w:val="0"/>
          <w:sz w:val="32"/>
          <w:szCs w:val="32"/>
          <w:lang w:val="zh-CN" w:eastAsia="zh-CN" w:bidi="ar-SA"/>
        </w:rPr>
        <w:t>内控工作小组与内部纪检员定期对项目的实施和支付情况进行审核。</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黑体" w:hAnsi="宋体" w:eastAsia="黑体" w:cs="Times New Roman"/>
          <w:b/>
          <w:bCs/>
          <w:color w:val="auto"/>
          <w:sz w:val="32"/>
          <w:szCs w:val="32"/>
          <w:highlight w:val="none"/>
        </w:rPr>
        <w:t>四、项目绩效情况</w:t>
      </w:r>
      <w:r>
        <w:rPr>
          <w:rFonts w:hint="eastAsia" w:ascii="仿宋_GB2312" w:hAnsi="宋体" w:eastAsia="仿宋_GB2312" w:cs="Times New Roman"/>
          <w:b/>
          <w:bCs/>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（一）项目完成情况。</w:t>
      </w:r>
    </w:p>
    <w:p>
      <w:pPr>
        <w:pStyle w:val="2"/>
        <w:ind w:firstLine="643" w:firstLineChars="200"/>
        <w:rPr>
          <w:rFonts w:hint="default" w:ascii="仿宋_GB2312" w:hAnsi="Times New Roman" w:eastAsia="仿宋_GB2312" w:cs="Times New Roman"/>
          <w:b/>
          <w:bCs/>
          <w:kern w:val="0"/>
          <w:sz w:val="32"/>
          <w:szCs w:val="32"/>
          <w:lang w:val="en-US" w:eastAsia="zh-CN" w:bidi="ar-SA"/>
        </w:rPr>
      </w:pPr>
      <w:r>
        <w:rPr>
          <w:rFonts w:hint="eastAsia" w:ascii="仿宋_GB2312" w:hAnsi="Times New Roman" w:eastAsia="仿宋_GB2312" w:cs="Times New Roman"/>
          <w:b/>
          <w:bCs/>
          <w:kern w:val="0"/>
          <w:sz w:val="32"/>
          <w:szCs w:val="32"/>
          <w:lang w:val="zh-CN" w:eastAsia="zh-CN" w:bidi="ar-SA"/>
        </w:rPr>
        <w:t>通过项目实施，</w:t>
      </w:r>
      <w:r>
        <w:rPr>
          <w:rFonts w:hint="eastAsia" w:cs="Times New Roman"/>
          <w:b/>
          <w:bCs/>
          <w:kern w:val="0"/>
          <w:sz w:val="32"/>
          <w:szCs w:val="32"/>
          <w:lang w:val="zh-CN" w:eastAsia="zh-CN" w:bidi="ar-SA"/>
        </w:rPr>
        <w:t>完成了全年系统使用、维护费用支付，达到了逾期目标，截止评价时点任务完成</w:t>
      </w:r>
      <w:r>
        <w:rPr>
          <w:rFonts w:hint="eastAsia" w:cs="Times New Roman"/>
          <w:b/>
          <w:bCs/>
          <w:kern w:val="0"/>
          <w:sz w:val="32"/>
          <w:szCs w:val="32"/>
          <w:lang w:val="en-US" w:eastAsia="zh-CN" w:bidi="ar-SA"/>
        </w:rPr>
        <w:t>100%，未有资金超标和结余情况。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（二）项目效益情况。</w:t>
      </w:r>
    </w:p>
    <w:p>
      <w:pPr>
        <w:pStyle w:val="2"/>
        <w:ind w:firstLine="643" w:firstLineChars="200"/>
        <w:rPr>
          <w:rFonts w:hint="eastAsia" w:cs="Times New Roman"/>
          <w:b/>
          <w:bCs/>
          <w:kern w:val="0"/>
          <w:sz w:val="32"/>
          <w:szCs w:val="32"/>
          <w:lang w:val="zh-CN" w:eastAsia="zh-CN" w:bidi="ar-SA"/>
        </w:rPr>
      </w:pPr>
      <w:r>
        <w:rPr>
          <w:rFonts w:hint="eastAsia" w:cs="Times New Roman"/>
          <w:b/>
          <w:bCs/>
          <w:kern w:val="0"/>
          <w:sz w:val="32"/>
          <w:szCs w:val="32"/>
          <w:lang w:val="zh-CN" w:eastAsia="zh-CN" w:bidi="ar-SA"/>
        </w:rPr>
        <w:t>通过项目实施，保障了信访投诉受理平台正常运行，群众信访渠道畅通。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（一）评价结论。</w:t>
      </w:r>
    </w:p>
    <w:p>
      <w:pPr>
        <w:pageBreakBefore w:val="0"/>
        <w:kinsoku/>
        <w:wordWrap/>
        <w:overflowPunct/>
        <w:topLinePunct w:val="0"/>
        <w:bidi w:val="0"/>
        <w:adjustRightInd w:val="0"/>
        <w:snapToGrid w:val="0"/>
        <w:spacing w:line="576" w:lineRule="exact"/>
        <w:ind w:firstLine="720"/>
        <w:rPr>
          <w:rFonts w:hint="eastAsia" w:ascii="楷体_GB2312" w:hAnsi="宋体" w:eastAsia="楷体_GB2312"/>
          <w:b/>
          <w:bCs/>
          <w:sz w:val="32"/>
          <w:szCs w:val="32"/>
          <w:lang w:val="zh-CN"/>
        </w:rPr>
      </w:pPr>
      <w:r>
        <w:rPr>
          <w:rFonts w:hint="eastAsia" w:ascii="仿宋_GB2312" w:hAnsi="仿宋_GB2312" w:eastAsia="仿宋_GB2312" w:cs="仿宋_GB2312"/>
          <w:b/>
          <w:bCs/>
          <w:sz w:val="32"/>
          <w:szCs w:val="32"/>
          <w:lang w:val="zh-CN"/>
        </w:rPr>
        <w:t>在群众信访过程中，由走访逐级变成通过各种网络平台投诉的趋势下，保障了全市各信访部门和机构通过网络处理群众投诉的要求，同时协商运营商开发更加便捷群众，适合信访部门的运行平台。达到了群众反映问题足不出户，一部手机一个平台便能信访，信访部门网上流转办理，减少走访、越级访。</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（二）存在的问题。</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cs="Times New Roman"/>
          <w:b/>
          <w:bCs/>
          <w:sz w:val="32"/>
          <w:szCs w:val="32"/>
          <w:lang w:val="zh-CN" w:eastAsia="zh-CN"/>
        </w:rPr>
      </w:pPr>
      <w:r>
        <w:rPr>
          <w:rFonts w:hint="eastAsia" w:ascii="仿宋_GB2312" w:hAnsi="宋体" w:eastAsia="仿宋_GB2312" w:cs="Times New Roman"/>
          <w:b/>
          <w:bCs/>
          <w:sz w:val="32"/>
          <w:szCs w:val="32"/>
          <w:lang w:val="zh-CN" w:eastAsia="zh-CN"/>
        </w:rPr>
        <w:t>一是个别县区设施设备老化需要更新。二是使用功能还需扩大。</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（三）相关建议。</w:t>
      </w:r>
    </w:p>
    <w:p>
      <w:pPr>
        <w:pageBreakBefore w:val="0"/>
        <w:kinsoku/>
        <w:wordWrap/>
        <w:overflowPunct/>
        <w:topLinePunct w:val="0"/>
        <w:bidi w:val="0"/>
        <w:spacing w:line="576"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继续加强和完善绩效管理体系，不断创新提高绩效管理水平。</w:t>
      </w:r>
    </w:p>
    <w:p>
      <w:pPr>
        <w:pStyle w:val="2"/>
        <w:rPr>
          <w:rFonts w:hint="eastAsia"/>
          <w:b/>
          <w:bCs/>
          <w:color w:val="auto"/>
          <w:sz w:val="32"/>
          <w:szCs w:val="32"/>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bCs/>
                <w:i w:val="0"/>
                <w:color w:val="auto"/>
                <w:sz w:val="32"/>
                <w:szCs w:val="32"/>
                <w:highlight w:val="none"/>
                <w:u w:val="none"/>
              </w:rPr>
            </w:pPr>
            <w:r>
              <w:rPr>
                <w:rFonts w:hint="eastAsia" w:ascii="宋体" w:hAnsi="宋体" w:eastAsia="宋体" w:cs="宋体"/>
                <w:b/>
                <w:bCs/>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639001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lang w:eastAsia="zh-CN"/>
              </w:rPr>
            </w:pPr>
            <w:r>
              <w:rPr>
                <w:rFonts w:hint="eastAsia" w:ascii="宋体" w:hAnsi="宋体" w:cs="宋体"/>
                <w:b/>
                <w:bCs/>
                <w:i w:val="0"/>
                <w:color w:val="auto"/>
                <w:sz w:val="24"/>
                <w:szCs w:val="24"/>
                <w:highlight w:val="none"/>
                <w:u w:val="none"/>
                <w:lang w:eastAsia="zh-CN"/>
              </w:rPr>
              <w:t>中共广元市委群众工作局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项目预算</w:t>
            </w:r>
            <w:r>
              <w:rPr>
                <w:rFonts w:hint="eastAsia" w:ascii="宋体" w:hAnsi="宋体" w:eastAsia="宋体" w:cs="宋体"/>
                <w:b/>
                <w:bCs/>
                <w:i w:val="0"/>
                <w:color w:val="auto"/>
                <w:kern w:val="0"/>
                <w:sz w:val="24"/>
                <w:szCs w:val="24"/>
                <w:highlight w:val="none"/>
                <w:u w:val="none"/>
                <w:lang w:val="en-US" w:eastAsia="zh-CN" w:bidi="ar"/>
              </w:rPr>
              <w:br w:type="textWrapping"/>
            </w:r>
            <w:r>
              <w:rPr>
                <w:rFonts w:hint="eastAsia" w:ascii="宋体" w:hAnsi="宋体" w:eastAsia="宋体" w:cs="宋体"/>
                <w:b/>
                <w:bCs/>
                <w:i w:val="0"/>
                <w:color w:val="auto"/>
                <w:kern w:val="0"/>
                <w:sz w:val="24"/>
                <w:szCs w:val="24"/>
                <w:highlight w:val="none"/>
                <w:u w:val="none"/>
                <w:lang w:val="en-US" w:eastAsia="zh-CN" w:bidi="ar"/>
              </w:rPr>
              <w:t>执行情况</w:t>
            </w:r>
            <w:r>
              <w:rPr>
                <w:rFonts w:hint="eastAsia" w:ascii="宋体" w:hAnsi="宋体" w:eastAsia="宋体" w:cs="宋体"/>
                <w:b/>
                <w:bCs/>
                <w:i w:val="0"/>
                <w:color w:val="auto"/>
                <w:kern w:val="0"/>
                <w:sz w:val="24"/>
                <w:szCs w:val="24"/>
                <w:highlight w:val="none"/>
                <w:u w:val="none"/>
                <w:lang w:val="en-US" w:eastAsia="zh-CN" w:bidi="ar"/>
              </w:rPr>
              <w:br w:type="textWrapping"/>
            </w:r>
            <w:r>
              <w:rPr>
                <w:rFonts w:hint="eastAsia" w:ascii="宋体" w:hAnsi="宋体" w:eastAsia="宋体" w:cs="宋体"/>
                <w:b/>
                <w:bCs/>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10.58万元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10.58万元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cs="宋体"/>
                <w:b/>
                <w:bCs/>
                <w:i w:val="0"/>
                <w:color w:val="auto"/>
                <w:sz w:val="24"/>
                <w:szCs w:val="24"/>
                <w:highlight w:val="none"/>
                <w:u w:val="none"/>
                <w:lang w:val="en-US" w:eastAsia="zh-CN"/>
              </w:rPr>
              <w:t>10.58万元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cs="宋体"/>
                <w:b/>
                <w:bCs/>
                <w:i w:val="0"/>
                <w:color w:val="auto"/>
                <w:sz w:val="24"/>
                <w:szCs w:val="24"/>
                <w:highlight w:val="none"/>
                <w:u w:val="none"/>
                <w:lang w:val="en-US" w:eastAsia="zh-CN"/>
              </w:rPr>
              <w:t>10.58万元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7"/>
              </w:numPr>
              <w:bidi w:val="0"/>
              <w:rPr>
                <w:rFonts w:hint="default"/>
                <w:b/>
                <w:bCs/>
                <w:lang w:val="en-US" w:eastAsia="zh-CN"/>
              </w:rPr>
            </w:pPr>
            <w:r>
              <w:rPr>
                <w:rFonts w:hint="eastAsia"/>
                <w:b/>
                <w:bCs/>
                <w:lang w:val="en-US" w:eastAsia="zh-CN"/>
              </w:rPr>
              <w:t>联通国家、省、市、县机构，实现会议培训、接访会商、应急调度等工作应用。2、确保远程视频接访工作、培训、会议顺利开展。</w:t>
            </w:r>
          </w:p>
          <w:p>
            <w:pPr>
              <w:numPr>
                <w:ilvl w:val="0"/>
                <w:numId w:val="0"/>
              </w:numPr>
              <w:bidi w:val="0"/>
              <w:rPr>
                <w:rFonts w:hint="default"/>
                <w:b/>
                <w:bCs/>
                <w:lang w:val="en-US" w:eastAsia="zh-CN"/>
              </w:rPr>
            </w:pPr>
            <w:r>
              <w:rPr>
                <w:rFonts w:hint="eastAsia"/>
                <w:b/>
                <w:bCs/>
                <w:lang w:val="en-US" w:eastAsia="zh-CN"/>
              </w:rPr>
              <w:t>3、对设备进行维护、技术保障。</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0"/>
              </w:numPr>
              <w:bidi w:val="0"/>
              <w:rPr>
                <w:rFonts w:hint="eastAsia"/>
                <w:b/>
                <w:bCs/>
                <w:lang w:val="en-US" w:eastAsia="zh-CN"/>
              </w:rPr>
            </w:pPr>
            <w:r>
              <w:rPr>
                <w:rFonts w:hint="eastAsia"/>
                <w:b/>
                <w:bCs/>
                <w:lang w:val="en-US" w:eastAsia="zh-CN"/>
              </w:rPr>
              <w:t>1、联通国家、省、市、县机构，实现会议培训、接访会商、应急调度等工作应用。</w:t>
            </w:r>
          </w:p>
          <w:p>
            <w:pPr>
              <w:numPr>
                <w:ilvl w:val="0"/>
                <w:numId w:val="0"/>
              </w:numPr>
              <w:bidi w:val="0"/>
              <w:rPr>
                <w:rFonts w:hint="default"/>
                <w:b/>
                <w:bCs/>
                <w:lang w:val="en-US" w:eastAsia="zh-CN"/>
              </w:rPr>
            </w:pPr>
            <w:r>
              <w:rPr>
                <w:rFonts w:hint="eastAsia"/>
                <w:b/>
                <w:bCs/>
                <w:lang w:val="en-US" w:eastAsia="zh-CN"/>
              </w:rPr>
              <w:t>2、确保远程视频接访工作、培训、会议顺利开展。</w:t>
            </w:r>
          </w:p>
          <w:p>
            <w:pPr>
              <w:numPr>
                <w:ilvl w:val="0"/>
                <w:numId w:val="0"/>
              </w:numPr>
              <w:bidi w:val="0"/>
              <w:rPr>
                <w:rFonts w:hint="default" w:ascii="宋体" w:hAnsi="宋体" w:cs="宋体"/>
                <w:b/>
                <w:bCs/>
                <w:i w:val="0"/>
                <w:color w:val="auto"/>
                <w:szCs w:val="24"/>
                <w:highlight w:val="none"/>
                <w:u w:val="none"/>
                <w:lang w:val="en-US" w:eastAsia="zh-CN"/>
              </w:rPr>
            </w:pPr>
            <w:r>
              <w:rPr>
                <w:rFonts w:hint="eastAsia"/>
                <w:b/>
                <w:bCs/>
                <w:lang w:val="en-US" w:eastAsia="zh-CN"/>
              </w:rPr>
              <w:t>3、对设备进行维护、技术保障。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使用套数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val="en-US" w:eastAsia="zh-CN"/>
              </w:rPr>
              <w:t>8套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eastAsia="zh-CN"/>
              </w:rPr>
              <w:t>技术保障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Times New Roman" w:hAnsi="Times New Roman" w:eastAsia="宋体" w:cs="Times New Roman"/>
                <w:b/>
                <w:bCs/>
                <w:kern w:val="2"/>
                <w:sz w:val="21"/>
                <w:szCs w:val="24"/>
                <w:lang w:val="en-US" w:eastAsia="zh-CN" w:bidi="ar-SA"/>
              </w:rPr>
            </w:pPr>
            <w:r>
              <w:rPr>
                <w:rFonts w:hint="eastAsia"/>
                <w:b/>
                <w:bCs/>
                <w:lang w:eastAsia="zh-CN"/>
              </w:rPr>
              <w:t>远程接待、会议、培训</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kern w:val="2"/>
                <w:sz w:val="28"/>
                <w:szCs w:val="28"/>
                <w:highlight w:val="none"/>
                <w:u w:val="none"/>
                <w:lang w:val="en-US" w:eastAsia="zh-CN" w:bidi="ar-SA"/>
              </w:rPr>
            </w:pPr>
            <w:r>
              <w:rPr>
                <w:rFonts w:hint="default" w:ascii="仿宋_GB2312" w:hAnsi="仿宋_GB2312" w:eastAsia="仿宋_GB2312" w:cs="仿宋_GB2312"/>
                <w:b/>
                <w:bCs/>
                <w:i w:val="0"/>
                <w:color w:val="auto"/>
                <w:sz w:val="28"/>
                <w:szCs w:val="28"/>
                <w:highlight w:val="none"/>
                <w:u w:val="none"/>
                <w:lang w:val="en-US" w:eastAsia="zh-CN"/>
              </w:rPr>
              <w:t>≥20次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2"/>
                <w:sz w:val="28"/>
                <w:szCs w:val="28"/>
                <w:highlight w:val="none"/>
                <w:u w:val="none"/>
                <w:lang w:val="en-US" w:eastAsia="zh-CN" w:bidi="ar-SA"/>
              </w:rPr>
            </w:pPr>
            <w:r>
              <w:rPr>
                <w:rFonts w:hint="eastAsia" w:ascii="仿宋_GB2312" w:hAnsi="仿宋_GB2312" w:eastAsia="仿宋_GB2312" w:cs="仿宋_GB2312"/>
                <w:b/>
                <w:bCs/>
                <w:i w:val="0"/>
                <w:color w:val="auto"/>
                <w:sz w:val="28"/>
                <w:szCs w:val="28"/>
                <w:highlight w:val="none"/>
                <w:u w:val="none"/>
                <w:lang w:val="en-US" w:eastAsia="zh-CN"/>
              </w:rPr>
              <w:t>23次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eastAsia="zh-CN"/>
              </w:rPr>
              <w:t>运行完好</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运行时限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2021年1-12月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所需经费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10.58万元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群众信访</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val="en-US" w:eastAsia="zh-CN"/>
              </w:rPr>
              <w:t>远程信访接待</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b/>
                <w:bCs/>
                <w:lang w:val="en-US" w:eastAsia="zh-CN"/>
              </w:rPr>
            </w:pPr>
            <w:r>
              <w:rPr>
                <w:rFonts w:hint="eastAsia"/>
                <w:b/>
                <w:bCs/>
                <w:lang w:val="en-US" w:eastAsia="zh-CN"/>
              </w:rPr>
              <w:t>群众可在本县约访市级部门通过远程视频接待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系统连接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eastAsia="zh-CN"/>
              </w:rPr>
              <w:t>四级联通</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val="en-US" w:eastAsia="zh-CN"/>
              </w:rPr>
            </w:pPr>
            <w:r>
              <w:rPr>
                <w:rFonts w:hint="eastAsia"/>
                <w:b/>
                <w:bCs/>
                <w:lang w:val="en-US" w:eastAsia="zh-CN"/>
              </w:rPr>
              <w:t>实现国家、省、市、县联通，开展培训、会议、信访接待。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满意</w:t>
            </w:r>
            <w:r>
              <w:rPr>
                <w:rFonts w:hint="eastAsia" w:ascii="仿宋_GB2312" w:hAnsi="仿宋_GB2312" w:eastAsia="仿宋_GB2312" w:cs="仿宋_GB2312"/>
                <w:b/>
                <w:bCs/>
                <w:i w:val="0"/>
                <w:color w:val="auto"/>
                <w:kern w:val="0"/>
                <w:sz w:val="28"/>
                <w:szCs w:val="28"/>
                <w:highlight w:val="none"/>
                <w:u w:val="none"/>
                <w:lang w:val="en-US" w:eastAsia="zh-CN" w:bidi="ar"/>
              </w:rPr>
              <w:br w:type="textWrapping"/>
            </w:r>
            <w:r>
              <w:rPr>
                <w:rFonts w:hint="eastAsia" w:ascii="仿宋_GB2312" w:hAnsi="仿宋_GB2312" w:eastAsia="仿宋_GB2312" w:cs="仿宋_GB2312"/>
                <w:b/>
                <w:bCs/>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eastAsia="zh-CN"/>
              </w:rPr>
              <w:t>到达</w:t>
            </w:r>
            <w:r>
              <w:rPr>
                <w:rFonts w:hint="eastAsia" w:ascii="仿宋_GB2312" w:hAnsi="仿宋_GB2312" w:eastAsia="仿宋_GB2312" w:cs="仿宋_GB2312"/>
                <w:b/>
                <w:bCs/>
                <w:i w:val="0"/>
                <w:color w:val="auto"/>
                <w:sz w:val="28"/>
                <w:szCs w:val="28"/>
                <w:highlight w:val="none"/>
                <w:u w:val="none"/>
                <w:lang w:val="en-US" w:eastAsia="zh-CN"/>
              </w:rPr>
              <w:t>92%满意</w:t>
            </w:r>
          </w:p>
        </w:tc>
      </w:tr>
    </w:tbl>
    <w:p>
      <w:pPr>
        <w:pStyle w:val="2"/>
        <w:rPr>
          <w:rFonts w:hint="eastAsia" w:hAnsi="宋体" w:cs="宋体"/>
          <w:b/>
          <w:bCs/>
          <w:color w:val="auto"/>
          <w:kern w:val="0"/>
          <w:sz w:val="32"/>
          <w:szCs w:val="32"/>
          <w:highlight w:val="none"/>
          <w:shd w:val="clear" w:color="auto" w:fill="FFFFFF"/>
          <w:lang w:val="en-US" w:eastAsia="zh-CN"/>
        </w:rPr>
      </w:pPr>
      <w:r>
        <w:rPr>
          <w:rFonts w:hint="eastAsia" w:hAnsi="宋体" w:cs="宋体"/>
          <w:b/>
          <w:bCs/>
          <w:color w:val="auto"/>
          <w:kern w:val="0"/>
          <w:sz w:val="32"/>
          <w:szCs w:val="32"/>
          <w:highlight w:val="none"/>
          <w:shd w:val="clear" w:color="auto" w:fill="FFFFFF"/>
          <w:lang w:val="zh-CN"/>
        </w:rPr>
        <w:t>附表</w:t>
      </w:r>
    </w:p>
    <w:p>
      <w:pPr>
        <w:spacing w:line="580" w:lineRule="exact"/>
        <w:rPr>
          <w:rStyle w:val="24"/>
          <w:rFonts w:ascii="黑体" w:hAnsi="黑体" w:eastAsia="黑体"/>
          <w:b/>
          <w:bCs/>
          <w:color w:val="auto"/>
          <w:highlight w:val="none"/>
        </w:rPr>
      </w:pPr>
    </w:p>
    <w:p>
      <w:pPr>
        <w:widowControl/>
        <w:jc w:val="left"/>
        <w:rPr>
          <w:rStyle w:val="24"/>
          <w:rFonts w:ascii="黑体" w:hAnsi="黑体" w:eastAsia="黑体"/>
          <w:b/>
          <w:bCs/>
          <w:color w:val="auto"/>
          <w:highlight w:val="none"/>
        </w:rPr>
      </w:pPr>
      <w:r>
        <w:rPr>
          <w:rStyle w:val="24"/>
          <w:rFonts w:ascii="黑体" w:hAnsi="黑体" w:eastAsia="黑体"/>
          <w:b/>
          <w:bCs/>
          <w:color w:val="auto"/>
          <w:highlight w:val="none"/>
        </w:rPr>
        <w:br w:type="page"/>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en-US" w:eastAsia="zh-CN" w:bidi="ar-SA"/>
        </w:rPr>
        <w:t>2021年法律顾问费</w:t>
      </w:r>
      <w:r>
        <w:rPr>
          <w:rFonts w:hint="eastAsia" w:ascii="方正小标宋简体" w:hAnsi="方正小标宋简体" w:eastAsia="方正小标宋简体" w:cs="方正小标宋简体"/>
          <w:b/>
          <w:bCs/>
          <w:color w:val="auto"/>
          <w:kern w:val="2"/>
          <w:sz w:val="44"/>
          <w:szCs w:val="44"/>
          <w:highlight w:val="none"/>
          <w:lang w:val="zh-CN" w:eastAsia="zh-CN" w:bidi="ar-SA"/>
        </w:rPr>
        <w:t>项目</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zh-CN" w:eastAsia="zh-CN" w:bidi="ar-SA"/>
        </w:rPr>
        <w:t>支出绩效自评报告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b/>
          <w:bCs/>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lang w:val="zh-CN"/>
        </w:rPr>
      </w:pPr>
      <w:r>
        <w:rPr>
          <w:rFonts w:hint="eastAsia" w:ascii="黑体" w:hAnsi="宋体" w:eastAsia="黑体" w:cs="Times New Roman"/>
          <w:b/>
          <w:bCs/>
          <w:color w:val="auto"/>
          <w:sz w:val="32"/>
          <w:szCs w:val="32"/>
          <w:highlight w:val="none"/>
        </w:rPr>
        <w:t>一、</w:t>
      </w:r>
      <w:r>
        <w:rPr>
          <w:rFonts w:hint="eastAsia" w:ascii="黑体" w:hAnsi="宋体" w:eastAsia="黑体" w:cs="Times New Roman"/>
          <w:b/>
          <w:bCs/>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zh-CN" w:eastAsia="zh-CN"/>
        </w:rPr>
        <w:t xml:space="preserve">根据川委办﹝2019﹞8号和川司法发﹝2018﹞104号要求，扩大信访律师援助范围，并纳入政府购买范围。在诉访分类的道理上在信访场所为涉法涉诉信访事项解答法律问题，将应当通过法律解决的纠纷引导到司法的途径上。  </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1．项目主要内容。对涉法涉诉来访群众开展司法服务。</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2．项目绩效目标。</w:t>
      </w:r>
      <w:r>
        <w:rPr>
          <w:rFonts w:hint="eastAsia" w:ascii="仿宋_GB2312" w:hAnsi="宋体" w:eastAsia="仿宋_GB2312"/>
          <w:b/>
          <w:bCs/>
          <w:sz w:val="32"/>
          <w:szCs w:val="32"/>
          <w:lang w:val="zh-CN" w:eastAsia="zh-CN"/>
        </w:rPr>
        <w:t>通过聘用法律顾问，参与市领导信访接待日群众来访接待全年不低于</w:t>
      </w:r>
      <w:r>
        <w:rPr>
          <w:rFonts w:hint="eastAsia" w:ascii="仿宋_GB2312" w:hAnsi="宋体" w:eastAsia="仿宋_GB2312"/>
          <w:b/>
          <w:bCs/>
          <w:sz w:val="32"/>
          <w:szCs w:val="32"/>
          <w:lang w:val="en-US" w:eastAsia="zh-CN"/>
        </w:rPr>
        <w:t>50次</w:t>
      </w:r>
      <w:r>
        <w:rPr>
          <w:rFonts w:hint="eastAsia" w:ascii="仿宋_GB2312" w:hAnsi="宋体" w:eastAsia="仿宋_GB2312"/>
          <w:b/>
          <w:bCs/>
          <w:sz w:val="32"/>
          <w:szCs w:val="32"/>
          <w:lang w:val="zh-CN" w:eastAsia="zh-CN"/>
        </w:rPr>
        <w:t>；在信访场所为涉法涉诉信访事项解答法律问题全年不低于</w:t>
      </w:r>
      <w:r>
        <w:rPr>
          <w:rFonts w:hint="eastAsia" w:ascii="仿宋_GB2312" w:hAnsi="宋体" w:eastAsia="仿宋_GB2312"/>
          <w:b/>
          <w:bCs/>
          <w:sz w:val="32"/>
          <w:szCs w:val="32"/>
          <w:lang w:val="en-US" w:eastAsia="zh-CN"/>
        </w:rPr>
        <w:t>100个工作日。</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3．评价申报情况。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申报内容与实际相符，申报目标合理可行。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（三）项目自评步骤及方法。</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zh-CN" w:eastAsia="zh-CN"/>
        </w:rPr>
        <w:t>按照项目评价要求，明确自评责任人，由使用科室先进行自评，在通过查验资料，局班子组织审评。</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（一）项目资金申报及批复情况。</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zh-CN" w:eastAsia="zh-CN"/>
        </w:rPr>
        <w:t>按照一般公共预算管理要求，年初进行项目资金申报，</w:t>
      </w:r>
      <w:r>
        <w:rPr>
          <w:rFonts w:hint="eastAsia" w:ascii="仿宋_GB2312" w:hAnsi="宋体" w:eastAsia="仿宋_GB2312"/>
          <w:b/>
          <w:bCs/>
          <w:sz w:val="32"/>
          <w:szCs w:val="32"/>
          <w:lang w:val="en-US" w:eastAsia="zh-CN"/>
        </w:rPr>
        <w:t>2021年广元市财政局通过《广元市财政局关于批复2021年市级部门预算的通知》文件下达我单位项目资金预算指标2.70万元。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（二）资金计划、到位及使用情况。</w:t>
      </w:r>
    </w:p>
    <w:p>
      <w:pPr>
        <w:pageBreakBefore w:val="0"/>
        <w:kinsoku/>
        <w:wordWrap/>
        <w:overflowPunct/>
        <w:topLinePunct w:val="0"/>
        <w:bidi w:val="0"/>
        <w:adjustRightInd w:val="0"/>
        <w:snapToGrid w:val="0"/>
        <w:spacing w:line="576" w:lineRule="exact"/>
        <w:ind w:firstLine="72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zh-CN"/>
        </w:rPr>
        <w:t>1．资金计划。项目资金申报</w:t>
      </w:r>
      <w:r>
        <w:rPr>
          <w:rFonts w:hint="eastAsia" w:ascii="仿宋_GB2312" w:hAnsi="宋体" w:eastAsia="仿宋_GB2312"/>
          <w:b/>
          <w:bCs/>
          <w:sz w:val="32"/>
          <w:szCs w:val="32"/>
          <w:lang w:val="en-US" w:eastAsia="zh-CN"/>
        </w:rPr>
        <w:t>2.70万元，财政</w:t>
      </w:r>
      <w:r>
        <w:rPr>
          <w:rFonts w:hint="eastAsia" w:ascii="仿宋_GB2312" w:hAnsi="宋体" w:eastAsia="仿宋_GB2312"/>
          <w:b/>
          <w:bCs/>
          <w:sz w:val="32"/>
          <w:szCs w:val="32"/>
          <w:lang w:val="zh-CN"/>
        </w:rPr>
        <w:t>批复</w:t>
      </w:r>
      <w:r>
        <w:rPr>
          <w:rFonts w:hint="eastAsia" w:ascii="仿宋_GB2312" w:hAnsi="宋体" w:eastAsia="仿宋_GB2312"/>
          <w:b/>
          <w:bCs/>
          <w:sz w:val="32"/>
          <w:szCs w:val="32"/>
          <w:lang w:val="en-US" w:eastAsia="zh-CN"/>
        </w:rPr>
        <w:t>2.70万元。</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2．资金到位。该项目预算指标为</w:t>
      </w:r>
      <w:r>
        <w:rPr>
          <w:rFonts w:hint="eastAsia" w:ascii="仿宋_GB2312" w:hAnsi="宋体" w:eastAsia="仿宋_GB2312"/>
          <w:b/>
          <w:bCs/>
          <w:sz w:val="32"/>
          <w:szCs w:val="32"/>
          <w:lang w:val="en-US" w:eastAsia="zh-CN"/>
        </w:rPr>
        <w:t>2.70万元，截止2021年底，市财政实际拨付资金2.70万元，资金拨付率为100%。</w:t>
      </w:r>
    </w:p>
    <w:p>
      <w:pPr>
        <w:pageBreakBefore w:val="0"/>
        <w:kinsoku/>
        <w:wordWrap/>
        <w:overflowPunct/>
        <w:topLinePunct w:val="0"/>
        <w:bidi w:val="0"/>
        <w:adjustRightInd w:val="0"/>
        <w:snapToGrid w:val="0"/>
        <w:spacing w:line="576" w:lineRule="exact"/>
        <w:ind w:firstLine="72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zh-CN"/>
        </w:rPr>
        <w:t>3．资金使用。该项目资金全年支出</w:t>
      </w:r>
      <w:r>
        <w:rPr>
          <w:rFonts w:hint="eastAsia" w:ascii="仿宋_GB2312" w:hAnsi="宋体" w:eastAsia="仿宋_GB2312"/>
          <w:b/>
          <w:bCs/>
          <w:sz w:val="32"/>
          <w:szCs w:val="32"/>
          <w:lang w:val="en-US" w:eastAsia="zh-CN"/>
        </w:rPr>
        <w:t>2.70万元，支出进度为100%，主要支付律师法律服务费。在项目执行过程中，严格按照预算批复执行，未随意改变该项目资金支付范围、支付标准、严格预算执行进度和经费支出，确保资金使用安全、规范、高效。</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（三）项目财务管理情况。</w:t>
      </w:r>
    </w:p>
    <w:p>
      <w:pPr>
        <w:pageBreakBefore w:val="0"/>
        <w:numPr>
          <w:ilvl w:val="0"/>
          <w:numId w:val="0"/>
        </w:numPr>
        <w:kinsoku/>
        <w:wordWrap/>
        <w:overflowPunct/>
        <w:topLinePunct w:val="0"/>
        <w:bidi w:val="0"/>
        <w:adjustRightInd w:val="0"/>
        <w:snapToGrid w:val="0"/>
        <w:spacing w:line="576" w:lineRule="exact"/>
        <w:ind w:firstLine="643" w:firstLineChars="200"/>
        <w:rPr>
          <w:rFonts w:ascii="仿宋_GB2312" w:hAnsi="宋体" w:eastAsia="仿宋_GB2312"/>
          <w:b/>
          <w:bCs/>
          <w:sz w:val="32"/>
          <w:szCs w:val="32"/>
          <w:lang w:val="zh-CN"/>
        </w:rPr>
      </w:pPr>
      <w:r>
        <w:rPr>
          <w:rFonts w:hint="eastAsia" w:ascii="仿宋_GB2312" w:eastAsia="仿宋_GB2312" w:cs="Times New Roman"/>
          <w:b/>
          <w:bCs/>
          <w:kern w:val="0"/>
          <w:sz w:val="32"/>
          <w:szCs w:val="32"/>
          <w:lang w:val="en-US" w:eastAsia="zh-CN" w:bidi="ar-SA"/>
        </w:rPr>
        <w:t>我单位严格按照财务管理相关制度规定，建立健全财务管理制度和内控制度，</w:t>
      </w:r>
      <w:r>
        <w:rPr>
          <w:rFonts w:hint="eastAsia" w:ascii="仿宋_GB2312" w:hAnsi="Times New Roman" w:eastAsia="仿宋_GB2312" w:cs="Times New Roman"/>
          <w:b/>
          <w:bCs/>
          <w:kern w:val="0"/>
          <w:sz w:val="32"/>
          <w:szCs w:val="32"/>
          <w:lang w:val="en-US" w:eastAsia="zh-CN" w:bidi="ar-SA"/>
        </w:rPr>
        <w:t>严格执行财务支出的报销制度，应附与经济业务事项相关的合法合规的原始凭证和附件，按规定的程序审核、审批，并有具体经办人、证明人、领导审批签字，进行支付</w:t>
      </w:r>
      <w:r>
        <w:rPr>
          <w:rFonts w:hint="eastAsia" w:ascii="仿宋_GB2312" w:eastAsia="仿宋_GB2312" w:cs="Times New Roman"/>
          <w:b/>
          <w:bCs/>
          <w:kern w:val="0"/>
          <w:sz w:val="32"/>
          <w:szCs w:val="32"/>
          <w:lang w:val="en-US" w:eastAsia="zh-CN" w:bidi="ar-SA"/>
        </w:rPr>
        <w:t>，及时、规范进行财务处理及会计核算，做好专款专用。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eastAsia="仿宋_GB2312" w:cs="Times New Roman"/>
          <w:b/>
          <w:bCs/>
          <w:kern w:val="0"/>
          <w:sz w:val="32"/>
          <w:szCs w:val="32"/>
          <w:lang w:val="en-US" w:eastAsia="zh-CN" w:bidi="ar-SA"/>
        </w:rPr>
      </w:pPr>
      <w:r>
        <w:rPr>
          <w:rFonts w:hint="eastAsia" w:ascii="楷体_GB2312" w:hAnsi="宋体" w:eastAsia="楷体_GB2312" w:cs="Times New Roman"/>
          <w:b/>
          <w:bCs/>
          <w:color w:val="auto"/>
          <w:sz w:val="32"/>
          <w:szCs w:val="32"/>
          <w:highlight w:val="none"/>
          <w:lang w:val="zh-CN"/>
        </w:rPr>
        <w:t>（一）项目组织架构及实施流程。</w:t>
      </w:r>
      <w:r>
        <w:rPr>
          <w:rFonts w:hint="eastAsia" w:ascii="仿宋_GB2312" w:eastAsia="仿宋_GB2312" w:cs="Times New Roman"/>
          <w:b/>
          <w:bCs/>
          <w:kern w:val="0"/>
          <w:sz w:val="32"/>
          <w:szCs w:val="32"/>
          <w:lang w:val="zh-CN" w:eastAsia="zh-CN" w:bidi="ar-SA"/>
        </w:rPr>
        <w:t>该项目由接访一科负责申报和组织实施，由项目负责科室进行验收，向单位提供验收报告。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eastAsia="仿宋_GB2312" w:cs="Times New Roman"/>
          <w:b/>
          <w:bCs/>
          <w:kern w:val="0"/>
          <w:sz w:val="32"/>
          <w:szCs w:val="32"/>
          <w:lang w:val="zh-CN" w:eastAsia="zh-CN" w:bidi="ar-SA"/>
        </w:rPr>
      </w:pPr>
      <w:r>
        <w:rPr>
          <w:rFonts w:hint="eastAsia" w:ascii="楷体_GB2312" w:hAnsi="宋体" w:eastAsia="楷体_GB2312" w:cs="Times New Roman"/>
          <w:b/>
          <w:bCs/>
          <w:color w:val="auto"/>
          <w:sz w:val="32"/>
          <w:szCs w:val="32"/>
          <w:highlight w:val="none"/>
          <w:lang w:val="zh-CN"/>
        </w:rPr>
        <w:t>（二）项目管理情况。</w:t>
      </w:r>
      <w:r>
        <w:rPr>
          <w:rFonts w:hint="eastAsia" w:ascii="仿宋_GB2312" w:eastAsia="仿宋_GB2312" w:cs="Times New Roman"/>
          <w:b/>
          <w:bCs/>
          <w:kern w:val="0"/>
          <w:sz w:val="32"/>
          <w:szCs w:val="32"/>
          <w:lang w:val="zh-CN" w:eastAsia="zh-CN" w:bidi="ar-SA"/>
        </w:rPr>
        <w:t>通过立项、论证、审批等确认程序，并落实经费来源后组织实施，资金支付过程中</w:t>
      </w:r>
      <w:r>
        <w:rPr>
          <w:rFonts w:hint="eastAsia" w:ascii="仿宋_GB2312" w:hAnsi="Times New Roman" w:eastAsia="仿宋_GB2312" w:cs="Times New Roman"/>
          <w:b/>
          <w:bCs/>
          <w:kern w:val="0"/>
          <w:sz w:val="32"/>
          <w:szCs w:val="32"/>
          <w:lang w:val="zh-CN" w:eastAsia="zh-CN" w:bidi="ar-SA"/>
        </w:rPr>
        <w:t>专款专用，使用合规，支出依据规范，无虚列支出，无截留、挤占、挪用现象。</w:t>
      </w:r>
    </w:p>
    <w:p>
      <w:pPr>
        <w:pageBreakBefore w:val="0"/>
        <w:kinsoku/>
        <w:wordWrap/>
        <w:overflowPunct/>
        <w:topLinePunct w:val="0"/>
        <w:bidi w:val="0"/>
        <w:adjustRightInd w:val="0"/>
        <w:snapToGrid w:val="0"/>
        <w:spacing w:line="576" w:lineRule="exact"/>
        <w:ind w:firstLine="720"/>
        <w:rPr>
          <w:rFonts w:hint="eastAsia" w:ascii="仿宋_GB2312" w:hAnsi="Times New Roman" w:eastAsia="仿宋_GB2312" w:cs="Times New Roman"/>
          <w:b/>
          <w:bCs/>
          <w:kern w:val="0"/>
          <w:sz w:val="32"/>
          <w:szCs w:val="32"/>
          <w:lang w:val="zh-CN" w:eastAsia="zh-CN" w:bidi="ar-SA"/>
        </w:rPr>
      </w:pPr>
      <w:r>
        <w:rPr>
          <w:rFonts w:hint="eastAsia" w:ascii="楷体_GB2312" w:hAnsi="宋体" w:eastAsia="楷体_GB2312" w:cs="Times New Roman"/>
          <w:b/>
          <w:bCs/>
          <w:color w:val="auto"/>
          <w:sz w:val="32"/>
          <w:szCs w:val="32"/>
          <w:highlight w:val="none"/>
          <w:lang w:val="zh-CN"/>
        </w:rPr>
        <w:t>（三）项目监管情况。</w:t>
      </w:r>
      <w:r>
        <w:rPr>
          <w:rFonts w:hint="eastAsia" w:ascii="仿宋_GB2312" w:hAnsi="Times New Roman" w:eastAsia="仿宋_GB2312" w:cs="Times New Roman"/>
          <w:b/>
          <w:bCs/>
          <w:kern w:val="0"/>
          <w:sz w:val="32"/>
          <w:szCs w:val="32"/>
          <w:lang w:val="zh-CN" w:eastAsia="zh-CN" w:bidi="ar-SA"/>
        </w:rPr>
        <w:t>内控工作小组与内部纪检员定期对项目的实施和支付情况进行审核。</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黑体" w:hAnsi="宋体" w:eastAsia="黑体" w:cs="Times New Roman"/>
          <w:b/>
          <w:bCs/>
          <w:color w:val="auto"/>
          <w:sz w:val="32"/>
          <w:szCs w:val="32"/>
          <w:highlight w:val="none"/>
        </w:rPr>
        <w:t>四、项目绩效情况</w:t>
      </w:r>
      <w:r>
        <w:rPr>
          <w:rFonts w:hint="eastAsia" w:ascii="仿宋_GB2312" w:hAnsi="宋体" w:eastAsia="仿宋_GB2312" w:cs="Times New Roman"/>
          <w:b/>
          <w:bCs/>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（一）项目完成情况。</w:t>
      </w:r>
    </w:p>
    <w:p>
      <w:pPr>
        <w:pStyle w:val="2"/>
        <w:ind w:firstLine="643" w:firstLineChars="200"/>
        <w:rPr>
          <w:rFonts w:hint="default" w:ascii="仿宋_GB2312" w:hAnsi="Times New Roman" w:eastAsia="仿宋_GB2312" w:cs="Times New Roman"/>
          <w:b/>
          <w:bCs/>
          <w:kern w:val="0"/>
          <w:sz w:val="32"/>
          <w:szCs w:val="32"/>
          <w:lang w:val="en-US" w:eastAsia="zh-CN" w:bidi="ar-SA"/>
        </w:rPr>
      </w:pPr>
      <w:r>
        <w:rPr>
          <w:rFonts w:hint="eastAsia" w:ascii="仿宋_GB2312" w:hAnsi="Times New Roman" w:eastAsia="仿宋_GB2312" w:cs="Times New Roman"/>
          <w:b/>
          <w:bCs/>
          <w:kern w:val="0"/>
          <w:sz w:val="32"/>
          <w:szCs w:val="32"/>
          <w:lang w:val="zh-CN" w:eastAsia="zh-CN" w:bidi="ar-SA"/>
        </w:rPr>
        <w:t>通过项目实施，</w:t>
      </w:r>
      <w:r>
        <w:rPr>
          <w:rFonts w:hint="eastAsia" w:cs="Times New Roman"/>
          <w:b/>
          <w:bCs/>
          <w:kern w:val="0"/>
          <w:sz w:val="32"/>
          <w:szCs w:val="32"/>
          <w:lang w:val="zh-CN" w:eastAsia="zh-CN" w:bidi="ar-SA"/>
        </w:rPr>
        <w:t>全年参与市领导接访法律服务</w:t>
      </w:r>
      <w:r>
        <w:rPr>
          <w:rFonts w:hint="eastAsia" w:cs="Times New Roman"/>
          <w:b/>
          <w:bCs/>
          <w:kern w:val="0"/>
          <w:sz w:val="32"/>
          <w:szCs w:val="32"/>
          <w:lang w:val="en-US" w:eastAsia="zh-CN" w:bidi="ar-SA"/>
        </w:rPr>
        <w:t>53次，接待涉法涉诉来访群众185批359人次，未有资金超标和结余情况。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（二）项目效益情况。</w:t>
      </w:r>
    </w:p>
    <w:p>
      <w:pPr>
        <w:pageBreakBefore w:val="0"/>
        <w:kinsoku/>
        <w:wordWrap/>
        <w:overflowPunct/>
        <w:topLinePunct w:val="0"/>
        <w:bidi w:val="0"/>
        <w:adjustRightInd w:val="0"/>
        <w:snapToGrid w:val="0"/>
        <w:spacing w:line="576" w:lineRule="exact"/>
        <w:ind w:firstLine="720"/>
        <w:rPr>
          <w:rFonts w:hint="eastAsia" w:cs="Times New Roman"/>
          <w:b/>
          <w:bCs/>
          <w:kern w:val="0"/>
          <w:sz w:val="32"/>
          <w:szCs w:val="32"/>
          <w:lang w:val="zh-CN" w:eastAsia="zh-CN" w:bidi="ar-SA"/>
        </w:rPr>
      </w:pPr>
      <w:r>
        <w:rPr>
          <w:rFonts w:hint="eastAsia" w:ascii="仿宋_GB2312" w:hAnsi="Times New Roman" w:eastAsia="仿宋_GB2312" w:cs="Times New Roman"/>
          <w:b/>
          <w:bCs/>
          <w:kern w:val="0"/>
          <w:sz w:val="32"/>
          <w:szCs w:val="32"/>
          <w:lang w:val="zh-CN" w:eastAsia="zh-CN" w:bidi="ar-SA"/>
        </w:rPr>
        <w:t>通过项目实施，一是按协议进驻信访场所开展法律服务；二是参与信访接待、处置，提供法律服务；三是对不属于信访部门受理的涉法涉诉事项，提供法律咨询，引导通过诉讼解决。</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（一）评价结论。</w:t>
      </w:r>
    </w:p>
    <w:p>
      <w:pPr>
        <w:pageBreakBefore w:val="0"/>
        <w:kinsoku/>
        <w:wordWrap/>
        <w:overflowPunct/>
        <w:topLinePunct w:val="0"/>
        <w:bidi w:val="0"/>
        <w:adjustRightInd w:val="0"/>
        <w:snapToGrid w:val="0"/>
        <w:spacing w:line="576" w:lineRule="exact"/>
        <w:ind w:firstLine="720"/>
        <w:rPr>
          <w:rFonts w:hint="default" w:ascii="仿宋_GB2312" w:hAnsi="Times New Roman" w:eastAsia="仿宋_GB2312" w:cs="Times New Roman"/>
          <w:b/>
          <w:bCs/>
          <w:kern w:val="0"/>
          <w:sz w:val="32"/>
          <w:szCs w:val="32"/>
          <w:lang w:val="en-US" w:eastAsia="zh-CN" w:bidi="ar-SA"/>
        </w:rPr>
      </w:pPr>
      <w:r>
        <w:rPr>
          <w:rFonts w:hint="eastAsia" w:ascii="仿宋_GB2312" w:hAnsi="Times New Roman" w:eastAsia="仿宋_GB2312" w:cs="Times New Roman"/>
          <w:b/>
          <w:bCs/>
          <w:kern w:val="0"/>
          <w:sz w:val="32"/>
          <w:szCs w:val="32"/>
          <w:lang w:val="en-US" w:eastAsia="zh-CN" w:bidi="ar-SA"/>
        </w:rPr>
        <w:t>将第三方法律服务引用到信访矛盾纠纷解决中，实现在诉访分离中的法律引导。</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（二）存在的问题。</w:t>
      </w:r>
    </w:p>
    <w:p>
      <w:pPr>
        <w:pageBreakBefore w:val="0"/>
        <w:kinsoku/>
        <w:wordWrap/>
        <w:overflowPunct/>
        <w:topLinePunct w:val="0"/>
        <w:bidi w:val="0"/>
        <w:adjustRightInd w:val="0"/>
        <w:snapToGrid w:val="0"/>
        <w:spacing w:line="576" w:lineRule="exact"/>
        <w:ind w:firstLine="720"/>
        <w:rPr>
          <w:rFonts w:hint="eastAsia" w:ascii="仿宋_GB2312" w:hAnsi="Times New Roman" w:eastAsia="仿宋_GB2312" w:cs="Times New Roman"/>
          <w:b/>
          <w:bCs/>
          <w:kern w:val="0"/>
          <w:sz w:val="32"/>
          <w:szCs w:val="32"/>
          <w:lang w:val="zh-CN" w:eastAsia="zh-CN" w:bidi="ar-SA"/>
        </w:rPr>
      </w:pPr>
      <w:r>
        <w:rPr>
          <w:rFonts w:hint="eastAsia" w:ascii="仿宋_GB2312" w:hAnsi="Times New Roman" w:eastAsia="仿宋_GB2312" w:cs="Times New Roman"/>
          <w:b/>
          <w:bCs/>
          <w:kern w:val="0"/>
          <w:sz w:val="32"/>
          <w:szCs w:val="32"/>
          <w:lang w:val="zh-CN" w:eastAsia="zh-CN" w:bidi="ar-SA"/>
        </w:rPr>
        <w:t>一是律师</w:t>
      </w:r>
      <w:r>
        <w:rPr>
          <w:rFonts w:hint="eastAsia" w:ascii="仿宋_GB2312" w:eastAsia="仿宋_GB2312" w:cs="Times New Roman"/>
          <w:b/>
          <w:bCs/>
          <w:kern w:val="0"/>
          <w:sz w:val="32"/>
          <w:szCs w:val="32"/>
          <w:lang w:val="zh-CN" w:eastAsia="zh-CN" w:bidi="ar-SA"/>
        </w:rPr>
        <w:t>管理还需加强</w:t>
      </w:r>
      <w:r>
        <w:rPr>
          <w:rFonts w:hint="eastAsia" w:ascii="仿宋_GB2312" w:hAnsi="Times New Roman" w:eastAsia="仿宋_GB2312" w:cs="Times New Roman"/>
          <w:b/>
          <w:bCs/>
          <w:kern w:val="0"/>
          <w:sz w:val="32"/>
          <w:szCs w:val="32"/>
          <w:lang w:val="zh-CN" w:eastAsia="zh-CN" w:bidi="ar-SA"/>
        </w:rPr>
        <w:t>；</w:t>
      </w:r>
      <w:r>
        <w:rPr>
          <w:rFonts w:hint="eastAsia" w:ascii="仿宋_GB2312" w:eastAsia="仿宋_GB2312" w:cs="Times New Roman"/>
          <w:b/>
          <w:bCs/>
          <w:kern w:val="0"/>
          <w:sz w:val="32"/>
          <w:szCs w:val="32"/>
          <w:lang w:val="zh-CN" w:eastAsia="zh-CN" w:bidi="ar-SA"/>
        </w:rPr>
        <w:t>二是职能职责还需进一步细化。</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（三）相关建议。</w:t>
      </w:r>
    </w:p>
    <w:p>
      <w:pPr>
        <w:pStyle w:val="2"/>
        <w:ind w:firstLine="643" w:firstLineChars="200"/>
        <w:rPr>
          <w:rFonts w:hint="eastAsia" w:ascii="仿宋_GB2312" w:hAnsi="Times New Roman" w:eastAsia="仿宋_GB2312" w:cs="Times New Roman"/>
          <w:b/>
          <w:bCs/>
          <w:kern w:val="0"/>
          <w:sz w:val="32"/>
          <w:szCs w:val="32"/>
          <w:lang w:val="zh-CN" w:eastAsia="zh-CN" w:bidi="ar-SA"/>
        </w:rPr>
      </w:pPr>
      <w:r>
        <w:rPr>
          <w:rFonts w:hint="eastAsia" w:ascii="仿宋_GB2312" w:hAnsi="Times New Roman" w:eastAsia="仿宋_GB2312" w:cs="Times New Roman"/>
          <w:b/>
          <w:bCs/>
          <w:kern w:val="0"/>
          <w:sz w:val="32"/>
          <w:szCs w:val="32"/>
          <w:lang w:val="zh-CN" w:eastAsia="zh-CN" w:bidi="ar-SA"/>
        </w:rPr>
        <w:t>进一步规范律师参与涉法涉诉信访调节的范围，制定</w:t>
      </w:r>
      <w:r>
        <w:rPr>
          <w:rFonts w:hint="eastAsia" w:cs="Times New Roman"/>
          <w:b/>
          <w:bCs/>
          <w:kern w:val="0"/>
          <w:sz w:val="32"/>
          <w:szCs w:val="32"/>
          <w:lang w:val="zh-CN" w:eastAsia="zh-CN" w:bidi="ar-SA"/>
        </w:rPr>
        <w:t>职能职责管理措施。</w:t>
      </w: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bCs/>
                <w:i w:val="0"/>
                <w:color w:val="auto"/>
                <w:sz w:val="32"/>
                <w:szCs w:val="32"/>
                <w:highlight w:val="none"/>
                <w:u w:val="none"/>
              </w:rPr>
            </w:pPr>
            <w:r>
              <w:rPr>
                <w:rFonts w:hint="eastAsia" w:ascii="宋体" w:hAnsi="宋体" w:eastAsia="宋体" w:cs="宋体"/>
                <w:b/>
                <w:bCs/>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639001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lang w:eastAsia="zh-CN"/>
              </w:rPr>
            </w:pPr>
            <w:r>
              <w:rPr>
                <w:rFonts w:hint="eastAsia" w:ascii="宋体" w:hAnsi="宋体" w:cs="宋体"/>
                <w:b/>
                <w:bCs/>
                <w:i w:val="0"/>
                <w:color w:val="auto"/>
                <w:sz w:val="24"/>
                <w:szCs w:val="24"/>
                <w:highlight w:val="none"/>
                <w:u w:val="none"/>
                <w:lang w:eastAsia="zh-CN"/>
              </w:rPr>
              <w:t>中共广元市委群众工作局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项目预算</w:t>
            </w:r>
            <w:r>
              <w:rPr>
                <w:rFonts w:hint="eastAsia" w:ascii="宋体" w:hAnsi="宋体" w:eastAsia="宋体" w:cs="宋体"/>
                <w:b/>
                <w:bCs/>
                <w:i w:val="0"/>
                <w:color w:val="auto"/>
                <w:kern w:val="0"/>
                <w:sz w:val="24"/>
                <w:szCs w:val="24"/>
                <w:highlight w:val="none"/>
                <w:u w:val="none"/>
                <w:lang w:val="en-US" w:eastAsia="zh-CN" w:bidi="ar"/>
              </w:rPr>
              <w:br w:type="textWrapping"/>
            </w:r>
            <w:r>
              <w:rPr>
                <w:rFonts w:hint="eastAsia" w:ascii="宋体" w:hAnsi="宋体" w:eastAsia="宋体" w:cs="宋体"/>
                <w:b/>
                <w:bCs/>
                <w:i w:val="0"/>
                <w:color w:val="auto"/>
                <w:kern w:val="0"/>
                <w:sz w:val="24"/>
                <w:szCs w:val="24"/>
                <w:highlight w:val="none"/>
                <w:u w:val="none"/>
                <w:lang w:val="en-US" w:eastAsia="zh-CN" w:bidi="ar"/>
              </w:rPr>
              <w:t>执行情况</w:t>
            </w:r>
            <w:r>
              <w:rPr>
                <w:rFonts w:hint="eastAsia" w:ascii="宋体" w:hAnsi="宋体" w:eastAsia="宋体" w:cs="宋体"/>
                <w:b/>
                <w:bCs/>
                <w:i w:val="0"/>
                <w:color w:val="auto"/>
                <w:kern w:val="0"/>
                <w:sz w:val="24"/>
                <w:szCs w:val="24"/>
                <w:highlight w:val="none"/>
                <w:u w:val="none"/>
                <w:lang w:val="en-US" w:eastAsia="zh-CN" w:bidi="ar"/>
              </w:rPr>
              <w:br w:type="textWrapping"/>
            </w:r>
            <w:r>
              <w:rPr>
                <w:rFonts w:hint="eastAsia" w:ascii="宋体" w:hAnsi="宋体" w:eastAsia="宋体" w:cs="宋体"/>
                <w:b/>
                <w:bCs/>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2.70万元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2.70万元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cs="宋体"/>
                <w:b/>
                <w:bCs/>
                <w:i w:val="0"/>
                <w:color w:val="auto"/>
                <w:sz w:val="24"/>
                <w:szCs w:val="24"/>
                <w:highlight w:val="none"/>
                <w:u w:val="none"/>
                <w:lang w:val="en-US" w:eastAsia="zh-CN"/>
              </w:rPr>
              <w:t>2.70万元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cs="宋体"/>
                <w:b/>
                <w:bCs/>
                <w:i w:val="0"/>
                <w:color w:val="auto"/>
                <w:sz w:val="24"/>
                <w:szCs w:val="24"/>
                <w:highlight w:val="none"/>
                <w:u w:val="none"/>
                <w:lang w:val="en-US" w:eastAsia="zh-CN"/>
              </w:rPr>
              <w:t>2.70万元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bidi w:val="0"/>
              <w:jc w:val="left"/>
              <w:rPr>
                <w:rFonts w:hint="default"/>
                <w:b/>
                <w:bCs/>
                <w:lang w:val="en-US" w:eastAsia="zh-CN"/>
              </w:rPr>
            </w:pPr>
            <w:r>
              <w:rPr>
                <w:rFonts w:hint="eastAsia"/>
                <w:b/>
                <w:bCs/>
                <w:lang w:val="en-US" w:eastAsia="zh-CN"/>
              </w:rPr>
              <w:t>1、市领导信访接待日群众来访接待工作，为接访领导提供法律意见。                                                                                                       2、在信访场所为涉法涉诉信访事项解答法律问题。                                                               3、其他信访事项处置协调过程中需要支付的律师费。</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bidi w:val="0"/>
              <w:rPr>
                <w:rFonts w:hint="default"/>
                <w:b/>
                <w:bCs/>
                <w:lang w:val="en-US" w:eastAsia="zh-CN"/>
              </w:rPr>
            </w:pPr>
            <w:r>
              <w:rPr>
                <w:rFonts w:hint="eastAsia"/>
                <w:b/>
                <w:bCs/>
                <w:lang w:val="zh-CN" w:eastAsia="zh-CN"/>
              </w:rPr>
              <w:t>全年参与市领导接访法律服务</w:t>
            </w:r>
            <w:r>
              <w:rPr>
                <w:rFonts w:hint="eastAsia"/>
                <w:b/>
                <w:bCs/>
                <w:lang w:val="en-US" w:eastAsia="zh-CN"/>
              </w:rPr>
              <w:t>53次，接待涉法涉诉来访群众185批359人次。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聘用律师</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eastAsia="zh-CN"/>
              </w:rPr>
              <w:t>法律服务天数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100天</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115天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eastAsia="zh-CN"/>
              </w:rPr>
              <w:t>服务质量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良好</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运行时限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2021年1-12月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所需经费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2.70万元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司法引导</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b/>
                <w:bCs/>
                <w:lang w:val="en-US" w:eastAsia="zh-CN"/>
              </w:rPr>
            </w:pPr>
            <w:r>
              <w:rPr>
                <w:rFonts w:hint="eastAsia"/>
                <w:b/>
                <w:bCs/>
                <w:lang w:val="en-US" w:eastAsia="zh-CN"/>
              </w:rPr>
              <w:t>150批次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b/>
                <w:bCs/>
                <w:lang w:val="en-US" w:eastAsia="zh-CN"/>
              </w:rPr>
            </w:pPr>
            <w:r>
              <w:rPr>
                <w:rFonts w:hint="eastAsia"/>
                <w:b/>
                <w:bCs/>
                <w:lang w:val="en-US" w:eastAsia="zh-CN"/>
              </w:rPr>
              <w:t>185批次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诉访分离</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b/>
                <w:bCs/>
                <w:lang w:val="en-US" w:eastAsia="zh-CN"/>
              </w:rPr>
            </w:pPr>
            <w:r>
              <w:rPr>
                <w:rFonts w:hint="eastAsia"/>
                <w:b/>
                <w:bCs/>
                <w:lang w:eastAsia="zh-CN"/>
              </w:rPr>
              <w:t>涉法涉诉来访引导司法途径解决≥</w:t>
            </w:r>
            <w:r>
              <w:rPr>
                <w:rFonts w:hint="eastAsia"/>
                <w:b/>
                <w:bCs/>
                <w:lang w:val="en-US" w:eastAsia="zh-CN"/>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b/>
                <w:bCs/>
                <w:lang w:val="en-US" w:eastAsia="zh-CN"/>
              </w:rPr>
            </w:pPr>
            <w:r>
              <w:rPr>
                <w:rFonts w:hint="eastAsia"/>
                <w:b/>
                <w:bCs/>
                <w:lang w:val="en-US" w:eastAsia="zh-CN"/>
              </w:rPr>
              <w:t>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满意</w:t>
            </w:r>
            <w:r>
              <w:rPr>
                <w:rFonts w:hint="eastAsia" w:ascii="仿宋_GB2312" w:hAnsi="仿宋_GB2312" w:eastAsia="仿宋_GB2312" w:cs="仿宋_GB2312"/>
                <w:b/>
                <w:bCs/>
                <w:i w:val="0"/>
                <w:color w:val="auto"/>
                <w:kern w:val="0"/>
                <w:sz w:val="28"/>
                <w:szCs w:val="28"/>
                <w:highlight w:val="none"/>
                <w:u w:val="none"/>
                <w:lang w:val="en-US" w:eastAsia="zh-CN" w:bidi="ar"/>
              </w:rPr>
              <w:br w:type="textWrapping"/>
            </w:r>
            <w:r>
              <w:rPr>
                <w:rFonts w:hint="eastAsia" w:ascii="仿宋_GB2312" w:hAnsi="仿宋_GB2312" w:eastAsia="仿宋_GB2312" w:cs="仿宋_GB2312"/>
                <w:b/>
                <w:bCs/>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87%</w:t>
            </w:r>
          </w:p>
        </w:tc>
      </w:tr>
    </w:tbl>
    <w:p>
      <w:pPr>
        <w:pStyle w:val="2"/>
        <w:rPr>
          <w:rFonts w:hint="eastAsia" w:hAnsi="宋体" w:cs="宋体"/>
          <w:b/>
          <w:bCs/>
          <w:color w:val="auto"/>
          <w:kern w:val="0"/>
          <w:sz w:val="32"/>
          <w:szCs w:val="32"/>
          <w:highlight w:val="none"/>
          <w:shd w:val="clear" w:color="auto" w:fill="FFFFFF"/>
          <w:lang w:val="en-US" w:eastAsia="zh-CN"/>
        </w:rPr>
      </w:pPr>
      <w:r>
        <w:rPr>
          <w:rFonts w:hint="eastAsia" w:hAnsi="宋体" w:cs="宋体"/>
          <w:b/>
          <w:bCs/>
          <w:color w:val="auto"/>
          <w:kern w:val="0"/>
          <w:sz w:val="32"/>
          <w:szCs w:val="32"/>
          <w:highlight w:val="none"/>
          <w:shd w:val="clear" w:color="auto" w:fill="FFFFFF"/>
          <w:lang w:val="zh-CN"/>
        </w:rPr>
        <w:t>附表</w:t>
      </w:r>
    </w:p>
    <w:p>
      <w:pPr>
        <w:pStyle w:val="2"/>
        <w:rPr>
          <w:rStyle w:val="24"/>
          <w:rFonts w:ascii="黑体" w:hAnsi="黑体" w:eastAsia="黑体"/>
          <w:b/>
          <w:bCs/>
          <w:color w:val="auto"/>
          <w:highlight w:val="none"/>
        </w:rPr>
      </w:pPr>
    </w:p>
    <w:p>
      <w:pPr>
        <w:pStyle w:val="2"/>
        <w:rPr>
          <w:rStyle w:val="24"/>
          <w:rFonts w:ascii="黑体" w:hAnsi="黑体" w:eastAsia="黑体"/>
          <w:b/>
          <w:bCs/>
          <w:color w:val="auto"/>
          <w:highlight w:val="none"/>
        </w:rPr>
      </w:pPr>
    </w:p>
    <w:p>
      <w:pPr>
        <w:spacing w:line="600" w:lineRule="exact"/>
        <w:jc w:val="center"/>
        <w:outlineLvl w:val="0"/>
        <w:rPr>
          <w:rFonts w:hint="eastAsia" w:ascii="仿宋" w:hAnsi="仿宋" w:eastAsia="仿宋"/>
          <w:b/>
          <w:bCs/>
          <w:color w:val="auto"/>
          <w:highlight w:val="none"/>
        </w:rPr>
      </w:pPr>
      <w:r>
        <w:rPr>
          <w:rFonts w:hint="eastAsia" w:ascii="黑体" w:hAnsi="黑体" w:eastAsia="黑体"/>
          <w:b/>
          <w:bCs/>
          <w:color w:val="auto"/>
          <w:sz w:val="44"/>
          <w:szCs w:val="44"/>
          <w:highlight w:val="none"/>
        </w:rPr>
        <w:t>第</w:t>
      </w:r>
      <w:r>
        <w:rPr>
          <w:rStyle w:val="24"/>
          <w:rFonts w:hint="eastAsia" w:ascii="黑体" w:hAnsi="黑体" w:eastAsia="黑体"/>
          <w:b/>
          <w:bCs/>
          <w:color w:val="auto"/>
          <w:highlight w:val="none"/>
        </w:rPr>
        <w:t>五部分 附表</w:t>
      </w:r>
    </w:p>
    <w:p>
      <w:pPr>
        <w:pStyle w:val="4"/>
        <w:rPr>
          <w:rFonts w:ascii="仿宋" w:hAnsi="仿宋" w:eastAsia="仿宋"/>
          <w:b/>
          <w:bCs/>
          <w:color w:val="auto"/>
          <w:highlight w:val="none"/>
        </w:rPr>
      </w:pPr>
      <w:r>
        <w:rPr>
          <w:rFonts w:hint="eastAsia" w:ascii="仿宋" w:hAnsi="仿宋" w:eastAsia="仿宋"/>
          <w:b/>
          <w:bCs/>
          <w:color w:val="auto"/>
          <w:highlight w:val="none"/>
        </w:rPr>
        <w:t>一、收</w:t>
      </w:r>
      <w:r>
        <w:rPr>
          <w:rStyle w:val="25"/>
          <w:rFonts w:hint="eastAsia" w:ascii="仿宋" w:hAnsi="仿宋" w:eastAsia="仿宋"/>
          <w:b/>
          <w:bCs/>
          <w:color w:val="auto"/>
          <w:highlight w:val="none"/>
        </w:rPr>
        <w:t>入支出决算总表</w:t>
      </w:r>
    </w:p>
    <w:p>
      <w:pPr>
        <w:pStyle w:val="4"/>
        <w:rPr>
          <w:rFonts w:ascii="仿宋" w:hAnsi="仿宋" w:eastAsia="仿宋"/>
          <w:b/>
          <w:bCs/>
          <w:color w:val="auto"/>
          <w:highlight w:val="none"/>
        </w:rPr>
      </w:pPr>
      <w:r>
        <w:rPr>
          <w:rFonts w:hint="eastAsia" w:ascii="仿宋" w:hAnsi="仿宋" w:eastAsia="仿宋"/>
          <w:b/>
          <w:bCs/>
          <w:color w:val="auto"/>
          <w:highlight w:val="none"/>
        </w:rPr>
        <w:t>二、收</w:t>
      </w:r>
      <w:r>
        <w:rPr>
          <w:rStyle w:val="25"/>
          <w:rFonts w:hint="eastAsia" w:ascii="仿宋" w:hAnsi="仿宋" w:eastAsia="仿宋"/>
          <w:b/>
          <w:bCs/>
          <w:color w:val="auto"/>
          <w:highlight w:val="none"/>
        </w:rPr>
        <w:t>入决算表</w:t>
      </w:r>
    </w:p>
    <w:p>
      <w:pPr>
        <w:pStyle w:val="4"/>
        <w:rPr>
          <w:rFonts w:ascii="仿宋" w:hAnsi="仿宋" w:eastAsia="仿宋"/>
          <w:b/>
          <w:bCs/>
          <w:color w:val="auto"/>
          <w:highlight w:val="none"/>
        </w:rPr>
      </w:pPr>
      <w:r>
        <w:rPr>
          <w:rStyle w:val="25"/>
          <w:rFonts w:hint="eastAsia" w:ascii="仿宋" w:hAnsi="仿宋" w:eastAsia="仿宋"/>
          <w:b/>
          <w:bCs/>
          <w:color w:val="auto"/>
          <w:highlight w:val="none"/>
        </w:rPr>
        <w:t>三、</w:t>
      </w:r>
      <w:r>
        <w:rPr>
          <w:rFonts w:hint="eastAsia" w:ascii="仿宋" w:hAnsi="仿宋" w:eastAsia="仿宋"/>
          <w:b/>
          <w:bCs/>
          <w:color w:val="auto"/>
          <w:highlight w:val="none"/>
        </w:rPr>
        <w:t>支</w:t>
      </w:r>
      <w:r>
        <w:rPr>
          <w:rStyle w:val="25"/>
          <w:rFonts w:hint="eastAsia" w:ascii="仿宋" w:hAnsi="仿宋" w:eastAsia="仿宋"/>
          <w:b/>
          <w:bCs/>
          <w:color w:val="auto"/>
          <w:highlight w:val="none"/>
        </w:rPr>
        <w:t>出决算表</w:t>
      </w:r>
    </w:p>
    <w:p>
      <w:pPr>
        <w:pStyle w:val="4"/>
        <w:rPr>
          <w:rFonts w:ascii="仿宋" w:hAnsi="仿宋" w:eastAsia="仿宋"/>
          <w:b/>
          <w:bCs/>
          <w:color w:val="auto"/>
          <w:highlight w:val="none"/>
        </w:rPr>
      </w:pPr>
      <w:r>
        <w:rPr>
          <w:rStyle w:val="25"/>
          <w:rFonts w:hint="eastAsia" w:ascii="仿宋" w:hAnsi="仿宋" w:eastAsia="仿宋"/>
          <w:b/>
          <w:bCs/>
          <w:color w:val="auto"/>
          <w:highlight w:val="none"/>
        </w:rPr>
        <w:t>四、</w:t>
      </w:r>
      <w:r>
        <w:rPr>
          <w:rFonts w:hint="eastAsia" w:ascii="仿宋" w:hAnsi="仿宋" w:eastAsia="仿宋"/>
          <w:b/>
          <w:bCs/>
          <w:color w:val="auto"/>
          <w:highlight w:val="none"/>
        </w:rPr>
        <w:t>财</w:t>
      </w:r>
      <w:r>
        <w:rPr>
          <w:rStyle w:val="25"/>
          <w:rFonts w:hint="eastAsia" w:ascii="仿宋" w:hAnsi="仿宋" w:eastAsia="仿宋"/>
          <w:b/>
          <w:bCs/>
          <w:color w:val="auto"/>
          <w:highlight w:val="none"/>
        </w:rPr>
        <w:t>政拨款收入支出决算总表</w:t>
      </w:r>
    </w:p>
    <w:p>
      <w:pPr>
        <w:pStyle w:val="4"/>
        <w:rPr>
          <w:rStyle w:val="25"/>
          <w:rFonts w:ascii="仿宋" w:hAnsi="仿宋" w:eastAsia="仿宋"/>
          <w:b/>
          <w:bCs/>
          <w:color w:val="auto"/>
          <w:highlight w:val="none"/>
        </w:rPr>
      </w:pPr>
      <w:r>
        <w:rPr>
          <w:rStyle w:val="25"/>
          <w:rFonts w:hint="eastAsia" w:ascii="仿宋" w:hAnsi="仿宋" w:eastAsia="仿宋"/>
          <w:b/>
          <w:bCs/>
          <w:color w:val="auto"/>
          <w:highlight w:val="none"/>
        </w:rPr>
        <w:t>五、</w:t>
      </w:r>
      <w:r>
        <w:rPr>
          <w:rFonts w:hint="eastAsia" w:ascii="仿宋" w:hAnsi="仿宋" w:eastAsia="仿宋"/>
          <w:b/>
          <w:bCs/>
          <w:color w:val="auto"/>
          <w:highlight w:val="none"/>
        </w:rPr>
        <w:t>财</w:t>
      </w:r>
      <w:r>
        <w:rPr>
          <w:rStyle w:val="25"/>
          <w:rFonts w:hint="eastAsia" w:ascii="仿宋" w:hAnsi="仿宋" w:eastAsia="仿宋"/>
          <w:b/>
          <w:bCs/>
          <w:color w:val="auto"/>
          <w:highlight w:val="none"/>
        </w:rPr>
        <w:t>政拨款支出决算明细表</w:t>
      </w:r>
    </w:p>
    <w:p>
      <w:pPr>
        <w:pStyle w:val="4"/>
        <w:rPr>
          <w:rFonts w:ascii="仿宋" w:hAnsi="仿宋" w:eastAsia="仿宋"/>
          <w:b/>
          <w:bCs/>
          <w:color w:val="auto"/>
          <w:highlight w:val="none"/>
        </w:rPr>
      </w:pPr>
      <w:r>
        <w:rPr>
          <w:rStyle w:val="25"/>
          <w:rFonts w:hint="eastAsia" w:ascii="仿宋" w:hAnsi="仿宋" w:eastAsia="仿宋"/>
          <w:b/>
          <w:bCs/>
          <w:color w:val="auto"/>
          <w:highlight w:val="none"/>
        </w:rPr>
        <w:t>六、</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般公共预算财政拨款支出决算表</w:t>
      </w:r>
    </w:p>
    <w:p>
      <w:pPr>
        <w:pStyle w:val="4"/>
        <w:rPr>
          <w:rFonts w:ascii="仿宋" w:hAnsi="仿宋" w:eastAsia="仿宋"/>
          <w:b/>
          <w:bCs/>
          <w:color w:val="auto"/>
          <w:highlight w:val="none"/>
        </w:rPr>
      </w:pPr>
      <w:r>
        <w:rPr>
          <w:rStyle w:val="25"/>
          <w:rFonts w:hint="eastAsia" w:ascii="仿宋" w:hAnsi="仿宋" w:eastAsia="仿宋"/>
          <w:b/>
          <w:bCs/>
          <w:color w:val="auto"/>
          <w:highlight w:val="none"/>
        </w:rPr>
        <w:t>七、</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般公共预算财政拨款支出决算明细表</w:t>
      </w:r>
    </w:p>
    <w:p>
      <w:pPr>
        <w:pStyle w:val="4"/>
        <w:rPr>
          <w:rFonts w:ascii="仿宋" w:hAnsi="仿宋" w:eastAsia="仿宋"/>
          <w:b/>
          <w:bCs/>
          <w:color w:val="auto"/>
          <w:highlight w:val="none"/>
        </w:rPr>
      </w:pPr>
      <w:r>
        <w:rPr>
          <w:rStyle w:val="25"/>
          <w:rFonts w:hint="eastAsia" w:ascii="仿宋" w:hAnsi="仿宋" w:eastAsia="仿宋"/>
          <w:b/>
          <w:bCs/>
          <w:color w:val="auto"/>
          <w:highlight w:val="none"/>
        </w:rPr>
        <w:t>八、</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般公共预算财政拨款基本支出决算表</w:t>
      </w:r>
    </w:p>
    <w:p>
      <w:pPr>
        <w:pStyle w:val="4"/>
        <w:rPr>
          <w:rFonts w:ascii="仿宋" w:hAnsi="仿宋" w:eastAsia="仿宋"/>
          <w:b/>
          <w:bCs/>
          <w:color w:val="auto"/>
          <w:highlight w:val="none"/>
        </w:rPr>
      </w:pPr>
      <w:r>
        <w:rPr>
          <w:rStyle w:val="25"/>
          <w:rFonts w:hint="eastAsia" w:ascii="仿宋" w:hAnsi="仿宋" w:eastAsia="仿宋"/>
          <w:b/>
          <w:bCs/>
          <w:color w:val="auto"/>
          <w:highlight w:val="none"/>
        </w:rPr>
        <w:t>九、</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般公共预算财政拨款项目支出决算表</w:t>
      </w:r>
    </w:p>
    <w:p>
      <w:pPr>
        <w:pStyle w:val="4"/>
        <w:rPr>
          <w:rFonts w:ascii="仿宋" w:hAnsi="仿宋" w:eastAsia="仿宋"/>
          <w:b/>
          <w:bCs/>
          <w:color w:val="auto"/>
          <w:highlight w:val="none"/>
        </w:rPr>
      </w:pPr>
      <w:r>
        <w:rPr>
          <w:rStyle w:val="25"/>
          <w:rFonts w:hint="eastAsia" w:ascii="仿宋" w:hAnsi="仿宋" w:eastAsia="仿宋"/>
          <w:b/>
          <w:bCs/>
          <w:color w:val="auto"/>
          <w:highlight w:val="none"/>
        </w:rPr>
        <w:t>十、</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般公共预算财政拨款“三公”经费支出决算表</w:t>
      </w:r>
    </w:p>
    <w:p>
      <w:pPr>
        <w:pStyle w:val="4"/>
        <w:rPr>
          <w:rFonts w:ascii="仿宋" w:hAnsi="仿宋" w:eastAsia="仿宋"/>
          <w:b/>
          <w:bCs/>
          <w:color w:val="auto"/>
          <w:highlight w:val="none"/>
        </w:rPr>
      </w:pPr>
      <w:r>
        <w:rPr>
          <w:rStyle w:val="25"/>
          <w:rFonts w:hint="eastAsia" w:ascii="仿宋" w:hAnsi="仿宋" w:eastAsia="仿宋"/>
          <w:b/>
          <w:bCs/>
          <w:color w:val="auto"/>
          <w:highlight w:val="none"/>
        </w:rPr>
        <w:t>十一、</w:t>
      </w:r>
      <w:r>
        <w:rPr>
          <w:rFonts w:hint="eastAsia" w:ascii="仿宋" w:hAnsi="仿宋" w:eastAsia="仿宋"/>
          <w:b/>
          <w:bCs/>
          <w:color w:val="auto"/>
          <w:highlight w:val="none"/>
        </w:rPr>
        <w:t>政</w:t>
      </w:r>
      <w:r>
        <w:rPr>
          <w:rStyle w:val="25"/>
          <w:rFonts w:hint="eastAsia" w:ascii="仿宋" w:hAnsi="仿宋" w:eastAsia="仿宋"/>
          <w:b/>
          <w:bCs/>
          <w:color w:val="auto"/>
          <w:highlight w:val="none"/>
        </w:rPr>
        <w:t>府性基金预算财政拨款收入支出决算表</w:t>
      </w:r>
    </w:p>
    <w:p>
      <w:pPr>
        <w:pStyle w:val="4"/>
        <w:rPr>
          <w:rFonts w:ascii="仿宋" w:hAnsi="仿宋" w:eastAsia="仿宋"/>
          <w:b/>
          <w:bCs/>
          <w:color w:val="auto"/>
          <w:highlight w:val="none"/>
        </w:rPr>
      </w:pPr>
      <w:r>
        <w:rPr>
          <w:rStyle w:val="25"/>
          <w:rFonts w:hint="eastAsia" w:ascii="仿宋" w:hAnsi="仿宋" w:eastAsia="仿宋"/>
          <w:b/>
          <w:bCs/>
          <w:color w:val="auto"/>
          <w:highlight w:val="none"/>
        </w:rPr>
        <w:t>十二、</w:t>
      </w:r>
      <w:r>
        <w:rPr>
          <w:rFonts w:hint="eastAsia" w:ascii="仿宋" w:hAnsi="仿宋" w:eastAsia="仿宋"/>
          <w:b/>
          <w:bCs/>
          <w:color w:val="auto"/>
          <w:highlight w:val="none"/>
        </w:rPr>
        <w:t>政</w:t>
      </w:r>
      <w:r>
        <w:rPr>
          <w:rStyle w:val="25"/>
          <w:rFonts w:hint="eastAsia" w:ascii="仿宋" w:hAnsi="仿宋" w:eastAsia="仿宋"/>
          <w:b/>
          <w:bCs/>
          <w:color w:val="auto"/>
          <w:highlight w:val="none"/>
        </w:rPr>
        <w:t>府性基金预算财政拨款“三公”经费支出决算表</w:t>
      </w:r>
    </w:p>
    <w:p>
      <w:pPr>
        <w:pStyle w:val="4"/>
        <w:rPr>
          <w:rStyle w:val="25"/>
          <w:rFonts w:hint="eastAsia" w:ascii="仿宋" w:hAnsi="仿宋" w:eastAsia="仿宋"/>
          <w:b/>
          <w:bCs/>
          <w:color w:val="auto"/>
          <w:highlight w:val="none"/>
        </w:rPr>
      </w:pPr>
      <w:r>
        <w:rPr>
          <w:rStyle w:val="25"/>
          <w:rFonts w:hint="eastAsia" w:ascii="仿宋" w:hAnsi="仿宋" w:eastAsia="仿宋"/>
          <w:b/>
          <w:bCs/>
          <w:color w:val="auto"/>
          <w:highlight w:val="none"/>
        </w:rPr>
        <w:t>十三、</w:t>
      </w:r>
      <w:r>
        <w:rPr>
          <w:rFonts w:hint="eastAsia" w:ascii="仿宋" w:hAnsi="仿宋" w:eastAsia="仿宋"/>
          <w:b/>
          <w:bCs/>
          <w:color w:val="auto"/>
          <w:highlight w:val="none"/>
        </w:rPr>
        <w:t>国</w:t>
      </w:r>
      <w:r>
        <w:rPr>
          <w:rStyle w:val="25"/>
          <w:rFonts w:hint="eastAsia" w:ascii="仿宋" w:hAnsi="仿宋" w:eastAsia="仿宋"/>
          <w:b/>
          <w:bCs/>
          <w:color w:val="auto"/>
          <w:highlight w:val="none"/>
        </w:rPr>
        <w:t>有资本经营预算</w:t>
      </w:r>
      <w:r>
        <w:rPr>
          <w:rStyle w:val="25"/>
          <w:rFonts w:hint="eastAsia" w:ascii="仿宋" w:hAnsi="仿宋" w:eastAsia="仿宋"/>
          <w:b/>
          <w:bCs/>
          <w:color w:val="auto"/>
          <w:highlight w:val="none"/>
          <w:lang w:eastAsia="zh-CN"/>
        </w:rPr>
        <w:t>财政拨款收入</w:t>
      </w:r>
      <w:r>
        <w:rPr>
          <w:rStyle w:val="25"/>
          <w:rFonts w:hint="eastAsia" w:ascii="仿宋" w:hAnsi="仿宋" w:eastAsia="仿宋"/>
          <w:b/>
          <w:bCs/>
          <w:color w:val="auto"/>
          <w:highlight w:val="none"/>
        </w:rPr>
        <w:t>支出决算表</w:t>
      </w:r>
    </w:p>
    <w:p>
      <w:pPr>
        <w:rPr>
          <w:rFonts w:hint="eastAsia" w:eastAsia="仿宋"/>
          <w:b/>
          <w:bCs/>
          <w:color w:val="auto"/>
          <w:highlight w:val="none"/>
          <w:lang w:eastAsia="zh-CN"/>
        </w:rPr>
      </w:pPr>
      <w:r>
        <w:rPr>
          <w:rStyle w:val="25"/>
          <w:rFonts w:hint="eastAsia" w:ascii="仿宋" w:hAnsi="仿宋" w:eastAsia="仿宋"/>
          <w:b/>
          <w:bCs/>
          <w:color w:val="auto"/>
          <w:highlight w:val="none"/>
          <w:lang w:eastAsia="zh-CN"/>
        </w:rPr>
        <w:t>十四、国有资本经营预算财政拨款支出决算表</w:t>
      </w:r>
      <w:bookmarkEnd w:id="52"/>
      <w:bookmarkEnd w:id="5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4CA868"/>
    <w:multiLevelType w:val="singleLevel"/>
    <w:tmpl w:val="AE4CA868"/>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A52A5F4"/>
    <w:multiLevelType w:val="singleLevel"/>
    <w:tmpl w:val="DA52A5F4"/>
    <w:lvl w:ilvl="0" w:tentative="0">
      <w:start w:val="1"/>
      <w:numFmt w:val="decimal"/>
      <w:suff w:val="nothing"/>
      <w:lvlText w:val="%1、"/>
      <w:lvlJc w:val="left"/>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21237C3D"/>
    <w:multiLevelType w:val="singleLevel"/>
    <w:tmpl w:val="21237C3D"/>
    <w:lvl w:ilvl="0" w:tentative="0">
      <w:start w:val="2"/>
      <w:numFmt w:val="chineseCounting"/>
      <w:suff w:val="nothing"/>
      <w:lvlText w:val="（%1）"/>
      <w:lvlJc w:val="left"/>
      <w:rPr>
        <w:rFonts w:hint="eastAsia"/>
      </w:rPr>
    </w:lvl>
  </w:abstractNum>
  <w:abstractNum w:abstractNumId="6">
    <w:nsid w:val="51AD4F62"/>
    <w:multiLevelType w:val="singleLevel"/>
    <w:tmpl w:val="51AD4F62"/>
    <w:lvl w:ilvl="0" w:tentative="0">
      <w:start w:val="1"/>
      <w:numFmt w:val="decimal"/>
      <w:suff w:val="nothing"/>
      <w:lvlText w:val="%1、"/>
      <w:lvlJc w:val="left"/>
    </w:lvl>
  </w:abstractNum>
  <w:num w:numId="1">
    <w:abstractNumId w:val="4"/>
  </w:num>
  <w:num w:numId="2">
    <w:abstractNumId w:val="1"/>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lZmU3NzIyNjU0Y2QwMWI1ZjkyZGZiMTcwZDQzNTUifQ=="/>
  </w:docVars>
  <w:rsids>
    <w:rsidRoot w:val="00F1361C"/>
    <w:rsid w:val="000222C6"/>
    <w:rsid w:val="0002549F"/>
    <w:rsid w:val="000468DB"/>
    <w:rsid w:val="0006487A"/>
    <w:rsid w:val="00065F8F"/>
    <w:rsid w:val="00070A43"/>
    <w:rsid w:val="000768F2"/>
    <w:rsid w:val="0009184B"/>
    <w:rsid w:val="00094236"/>
    <w:rsid w:val="0009593C"/>
    <w:rsid w:val="00096052"/>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52BAF"/>
    <w:rsid w:val="00F602DF"/>
    <w:rsid w:val="00F754A1"/>
    <w:rsid w:val="00F81FD9"/>
    <w:rsid w:val="00F841AA"/>
    <w:rsid w:val="00F84A94"/>
    <w:rsid w:val="00F87E96"/>
    <w:rsid w:val="00FA23E8"/>
    <w:rsid w:val="00FD3CC1"/>
    <w:rsid w:val="00FF1E02"/>
    <w:rsid w:val="00FF30B4"/>
    <w:rsid w:val="0140509F"/>
    <w:rsid w:val="08503871"/>
    <w:rsid w:val="093F51ED"/>
    <w:rsid w:val="096A77FA"/>
    <w:rsid w:val="09F04BF7"/>
    <w:rsid w:val="0A2032A3"/>
    <w:rsid w:val="0A825950"/>
    <w:rsid w:val="0B8A37D8"/>
    <w:rsid w:val="0D38267F"/>
    <w:rsid w:val="0EA24D4B"/>
    <w:rsid w:val="10C055FF"/>
    <w:rsid w:val="1136738F"/>
    <w:rsid w:val="118107EC"/>
    <w:rsid w:val="11DD6519"/>
    <w:rsid w:val="14206028"/>
    <w:rsid w:val="159643E7"/>
    <w:rsid w:val="16BB723D"/>
    <w:rsid w:val="18015F3F"/>
    <w:rsid w:val="187720F7"/>
    <w:rsid w:val="1BE8440E"/>
    <w:rsid w:val="1C7B7E93"/>
    <w:rsid w:val="1D155CEE"/>
    <w:rsid w:val="20F57F95"/>
    <w:rsid w:val="22E2570D"/>
    <w:rsid w:val="23E10C1F"/>
    <w:rsid w:val="240371BF"/>
    <w:rsid w:val="259F0480"/>
    <w:rsid w:val="25C741E6"/>
    <w:rsid w:val="263C6F6B"/>
    <w:rsid w:val="266475A9"/>
    <w:rsid w:val="27842671"/>
    <w:rsid w:val="29E9377D"/>
    <w:rsid w:val="29FD04D3"/>
    <w:rsid w:val="2ABE7A3E"/>
    <w:rsid w:val="2C371611"/>
    <w:rsid w:val="2EFA178C"/>
    <w:rsid w:val="307F43EA"/>
    <w:rsid w:val="30B46D73"/>
    <w:rsid w:val="319F7F4E"/>
    <w:rsid w:val="39AE70AB"/>
    <w:rsid w:val="3C0C0783"/>
    <w:rsid w:val="3F795B0E"/>
    <w:rsid w:val="3F9F3A96"/>
    <w:rsid w:val="40350D30"/>
    <w:rsid w:val="40CB7E47"/>
    <w:rsid w:val="44E168BA"/>
    <w:rsid w:val="493C27E9"/>
    <w:rsid w:val="496F39ED"/>
    <w:rsid w:val="49FF41D3"/>
    <w:rsid w:val="4A185DC8"/>
    <w:rsid w:val="4BE068DB"/>
    <w:rsid w:val="4BF6002B"/>
    <w:rsid w:val="4CE74FE6"/>
    <w:rsid w:val="4D3F0047"/>
    <w:rsid w:val="4ECE2238"/>
    <w:rsid w:val="508B053C"/>
    <w:rsid w:val="51AF776C"/>
    <w:rsid w:val="51DB4B86"/>
    <w:rsid w:val="55333C3E"/>
    <w:rsid w:val="56F7330C"/>
    <w:rsid w:val="58195E8B"/>
    <w:rsid w:val="614A752A"/>
    <w:rsid w:val="64CA39A1"/>
    <w:rsid w:val="6C4A05C8"/>
    <w:rsid w:val="72734D90"/>
    <w:rsid w:val="75675DB8"/>
    <w:rsid w:val="79D868B3"/>
    <w:rsid w:val="79E7B28D"/>
    <w:rsid w:val="7A1403FC"/>
    <w:rsid w:val="7C775BAB"/>
    <w:rsid w:val="7DAC4CBE"/>
    <w:rsid w:val="7EBF33D5"/>
    <w:rsid w:val="7F1FDB7A"/>
    <w:rsid w:val="7F3761BA"/>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42</Pages>
  <Words>13774</Words>
  <Characters>14684</Characters>
  <Lines>61</Lines>
  <Paragraphs>17</Paragraphs>
  <TotalTime>33</TotalTime>
  <ScaleCrop>false</ScaleCrop>
  <LinksUpToDate>false</LinksUpToDate>
  <CharactersWithSpaces>15095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狮子座</cp:lastModifiedBy>
  <cp:lastPrinted>2022-09-21T09:11:00Z</cp:lastPrinted>
  <dcterms:modified xsi:type="dcterms:W3CDTF">2022-09-29T06:43:20Z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18C4299B72334D3095585539B3212D20</vt:lpwstr>
  </property>
</Properties>
</file>